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wmf" ContentType="image/x-wmf"/>
  <Override PartName="/word/media/image4.wmf" ContentType="image/x-wmf"/>
  <Override PartName="/word/media/image9.wmf" ContentType="image/x-wmf"/>
  <Override PartName="/word/media/image18.wmf" ContentType="image/x-wmf"/>
  <Override PartName="/word/media/image12.wmf" ContentType="image/x-wmf"/>
  <Override PartName="/word/media/image3.wmf" ContentType="image/x-wmf"/>
  <Override PartName="/word/media/image19.wmf" ContentType="image/x-wmf"/>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wmf" ContentType="image/x-wmf"/>
  <Override PartName="/word/media/image16.wmf" ContentType="image/x-wmf"/>
  <Override PartName="/word/media/image7.wmf" ContentType="image/x-wmf"/>
  <Override PartName="/word/media/image2.wmf" ContentType="image/x-wmf"/>
  <Override PartName="/word/media/image11.wmf" ContentType="image/x-wmf"/>
  <Override PartName="/word/media/image17.wmf" ContentType="image/x-wmf"/>
  <Override PartName="/word/media/image8.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108" w:after="108"/>
        <w:rPr/>
      </w:pPr>
      <w:hyperlink r:id="rId2">
        <w:r>
          <w:rPr>
            <w:rStyle w:val="ListLabel5"/>
            <w:rFonts w:ascii="Times New Roman" w:hAnsi="Times New Roman"/>
            <w:b w:val="false"/>
            <w:color w:val="106BBE"/>
          </w:rPr>
          <w:t>Приказ Министерства экономического развития РФ от 19 декабря 2019 г. N 816 "Об организации работы в Минэкономразвития России по расчету показателя "Уровень развития сферы государственно-частного партнерства в субъекте Российской Федерации" за 2020 и последующие годы" (с изменениями и дополнениями)</w:t>
        </w:r>
      </w:hyperlink>
    </w:p>
    <w:p>
      <w:pPr>
        <w:pStyle w:val="Style26"/>
        <w:bidi w:val="0"/>
        <w:rPr/>
      </w:pPr>
      <w:r>
        <w:rPr/>
        <w:t>С изменениями и дополнениями от:</w:t>
      </w:r>
    </w:p>
    <w:p>
      <w:pPr>
        <w:pStyle w:val="Style24"/>
        <w:bidi w:val="0"/>
        <w:rPr/>
      </w:pPr>
      <w:r>
        <w:rPr/>
        <w:t xml:space="preserve"> </w:t>
      </w:r>
      <w:r>
        <w:rPr>
          <w:shd w:fill="EAEFED" w:val="clear"/>
        </w:rPr>
        <w:t>4 декабря 2020 г., 5 августа 2021 г., 27 декабря 2023 г.</w:t>
      </w:r>
    </w:p>
    <w:p>
      <w:pPr>
        <w:pStyle w:val="Normal"/>
        <w:rPr/>
      </w:pPr>
      <w:r>
        <w:rPr/>
      </w:r>
    </w:p>
    <w:p>
      <w:pPr>
        <w:pStyle w:val="Normal"/>
        <w:rPr/>
      </w:pPr>
      <w:r>
        <w:rPr>
          <w:rStyle w:val="Style15"/>
        </w:rPr>
        <w:t xml:space="preserve">В целях реализации </w:t>
      </w:r>
      <w:hyperlink r:id="rId3">
        <w:r>
          <w:rPr>
            <w:rStyle w:val="ListLabel5"/>
            <w:rFonts w:ascii="Times New Roman" w:hAnsi="Times New Roman"/>
            <w:b w:val="false"/>
            <w:color w:val="106BBE"/>
          </w:rPr>
          <w:t>распоряжения</w:t>
        </w:r>
      </w:hyperlink>
      <w:r>
        <w:rPr>
          <w:rStyle w:val="Style15"/>
        </w:rPr>
        <w:t xml:space="preserve"> Правительства Российской Федерации от 11 апреля 2016 г. N 642-р (Собрание законодательства Российской Федерации, 2016, N 16, ст. 2268) приказываю:</w:t>
      </w:r>
    </w:p>
    <w:p>
      <w:pPr>
        <w:pStyle w:val="Normal"/>
        <w:rPr/>
      </w:pPr>
      <w:bookmarkStart w:id="0" w:name="sub_1"/>
      <w:bookmarkEnd w:id="0"/>
      <w:r>
        <w:rPr>
          <w:rStyle w:val="Style15"/>
        </w:rPr>
        <w:t>1. Утвердить прилагаемые:</w:t>
      </w:r>
    </w:p>
    <w:p>
      <w:pPr>
        <w:pStyle w:val="Normal"/>
        <w:rPr/>
      </w:pPr>
      <w:bookmarkStart w:id="1" w:name="sub_1_Копия_1"/>
      <w:bookmarkEnd w:id="1"/>
      <w:r>
        <w:rPr>
          <w:rStyle w:val="Style15"/>
        </w:rPr>
        <w:t>Методику расчета показателя "Уровень развития государственно-частного партнерства в субъекте Российской Федерации" за 2020 и последующие годы (далее соответственно - Методика, Показатель) (</w:t>
      </w:r>
      <w:hyperlink w:anchor="sub_1000">
        <w:r>
          <w:rPr>
            <w:rStyle w:val="ListLabel5"/>
            <w:rFonts w:ascii="Times New Roman" w:hAnsi="Times New Roman"/>
            <w:b w:val="false"/>
            <w:color w:val="106BBE"/>
          </w:rPr>
          <w:t>приложение N 1</w:t>
        </w:r>
      </w:hyperlink>
      <w:r>
        <w:rPr>
          <w:rStyle w:val="Style15"/>
        </w:rPr>
        <w:t>);</w:t>
      </w:r>
    </w:p>
    <w:p>
      <w:pPr>
        <w:pStyle w:val="Normal"/>
        <w:rPr/>
      </w:pPr>
      <w:r>
        <w:rPr>
          <w:rStyle w:val="Style15"/>
        </w:rPr>
        <w:t>Порядок формирования рейтинга субъектов Российской Федерации по уровню развития сферы государственно-частного партнерства в субъекте Российской Федерации за 2020 и последующие годы (далее - Порядок) (</w:t>
      </w:r>
      <w:hyperlink w:anchor="sub_2000">
        <w:r>
          <w:rPr>
            <w:rStyle w:val="ListLabel5"/>
            <w:rFonts w:ascii="Times New Roman" w:hAnsi="Times New Roman"/>
            <w:b w:val="false"/>
            <w:color w:val="106BBE"/>
          </w:rPr>
          <w:t>приложение N 2</w:t>
        </w:r>
      </w:hyperlink>
      <w:r>
        <w:rPr>
          <w:rStyle w:val="Style15"/>
        </w:rPr>
        <w:t>).</w:t>
      </w:r>
    </w:p>
    <w:p>
      <w:pPr>
        <w:pStyle w:val="Normal"/>
        <w:rPr/>
      </w:pPr>
      <w:bookmarkStart w:id="2" w:name="sub_2"/>
      <w:bookmarkEnd w:id="2"/>
      <w:r>
        <w:rPr>
          <w:rStyle w:val="Style15"/>
        </w:rPr>
        <w:t xml:space="preserve">2. Установить, что при расчете Показателя используется информация, содержащаяся в государственной автоматизированной информационной системе "Управление", созданной в соответствии с </w:t>
      </w:r>
      <w:hyperlink r:id="rId4">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25 декабря 2009 г. N 1088 "О государственной автоматизированной информационной системе "Управление" (Собрание законодательства Российской Федерации, 2010, N 1, ст. 101; 2019, N 21, ст. 2594).</w:t>
      </w:r>
    </w:p>
    <w:p>
      <w:pPr>
        <w:pStyle w:val="Style19"/>
        <w:bidi w:val="0"/>
        <w:rPr/>
      </w:pPr>
      <w:bookmarkStart w:id="3" w:name="sub_3_Копия_1"/>
      <w:bookmarkStart w:id="4" w:name="sub_3"/>
      <w:bookmarkEnd w:id="3"/>
      <w:bookmarkEnd w:id="4"/>
      <w:r>
        <w:rPr>
          <w:color w:val="000000"/>
          <w:sz w:val="16"/>
          <w:shd w:fill="F0F0F0" w:val="clear"/>
        </w:rPr>
        <w:t>Информация об изменениях:</w:t>
      </w:r>
    </w:p>
    <w:p>
      <w:pPr>
        <w:pStyle w:val="Style23"/>
        <w:bidi w:val="0"/>
        <w:rPr/>
      </w:pPr>
      <w:bookmarkStart w:id="5" w:name="sub_3_Копия_2"/>
      <w:bookmarkEnd w:id="5"/>
      <w:r>
        <w:rPr/>
        <w:t xml:space="preserve"> </w:t>
      </w:r>
      <w:r>
        <w:rPr>
          <w:shd w:fill="F0F0F0" w:val="clear"/>
        </w:rPr>
        <w:t xml:space="preserve">Пункт 3 изменен с 5 августа 2021 г. - </w:t>
      </w:r>
      <w:hyperlink r:id="rId5">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3. Департаменту финансово-банковской деятельности и инвестиционного развития (А.В. Киревнин) не позднее 1 апреля года, следующего за отчетным, обеспечивать:</w:t>
      </w:r>
    </w:p>
    <w:p>
      <w:pPr>
        <w:pStyle w:val="Normal"/>
        <w:rPr/>
      </w:pPr>
      <w:r>
        <w:rPr>
          <w:rStyle w:val="Style15"/>
        </w:rPr>
        <w:t>определение значений Показателя в соответствии с Методикой;</w:t>
      </w:r>
    </w:p>
    <w:p>
      <w:pPr>
        <w:pStyle w:val="Normal"/>
        <w:rPr/>
      </w:pPr>
      <w:r>
        <w:rPr>
          <w:rStyle w:val="Style15"/>
        </w:rPr>
        <w:t>формирование рейтинга субъектов Российской Федерации по уровню развития сферы государственно-частного партнерства в субъекте Российской Федерации за отчетный год в соответствии с Порядком.</w:t>
      </w:r>
    </w:p>
    <w:p>
      <w:pPr>
        <w:pStyle w:val="Style19"/>
        <w:bidi w:val="0"/>
        <w:rPr/>
      </w:pPr>
      <w:bookmarkStart w:id="6" w:name="sub_4"/>
      <w:bookmarkEnd w:id="6"/>
      <w:r>
        <w:rPr>
          <w:color w:val="000000"/>
          <w:sz w:val="16"/>
          <w:shd w:fill="F0F0F0" w:val="clear"/>
        </w:rPr>
        <w:t>Информация об изменениях:</w:t>
      </w:r>
    </w:p>
    <w:p>
      <w:pPr>
        <w:pStyle w:val="Style23"/>
        <w:bidi w:val="0"/>
        <w:rPr/>
      </w:pPr>
      <w:bookmarkStart w:id="7" w:name="sub_4_Копия_1"/>
      <w:bookmarkEnd w:id="7"/>
      <w:r>
        <w:rPr/>
        <w:t xml:space="preserve"> </w:t>
      </w:r>
      <w:r>
        <w:rPr>
          <w:shd w:fill="F0F0F0" w:val="clear"/>
        </w:rPr>
        <w:t xml:space="preserve">Пункт 4 изменен с 5 августа 2021 г. - </w:t>
      </w:r>
      <w:hyperlink r:id="rId7">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8">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4. Контроль за исполнением настоящего приказа возложить на заместителя Министра Торосова И.Э.</w:t>
      </w:r>
    </w:p>
    <w:p>
      <w:pPr>
        <w:pStyle w:val="Normal"/>
        <w:rPr/>
      </w:pPr>
      <w:r>
        <w:rPr/>
      </w:r>
    </w:p>
    <w:tbl>
      <w:tblPr>
        <w:tblW w:w="10300" w:type="dxa"/>
        <w:jc w:val="left"/>
        <w:tblInd w:w="108" w:type="dxa"/>
        <w:tblLayout w:type="fixed"/>
        <w:tblCellMar>
          <w:top w:w="0" w:type="dxa"/>
          <w:left w:w="108" w:type="dxa"/>
          <w:bottom w:w="0" w:type="dxa"/>
          <w:right w:w="108" w:type="dxa"/>
        </w:tblCellMar>
      </w:tblPr>
      <w:tblGrid>
        <w:gridCol w:w="6867"/>
        <w:gridCol w:w="3432"/>
      </w:tblGrid>
      <w:tr>
        <w:trPr/>
        <w:tc>
          <w:tcPr>
            <w:tcW w:w="6867" w:type="dxa"/>
            <w:tcBorders/>
          </w:tcPr>
          <w:p>
            <w:pPr>
              <w:pStyle w:val="Style21"/>
              <w:tabs>
                <w:tab w:val="clear" w:pos="720"/>
              </w:tabs>
              <w:bidi w:val="0"/>
              <w:rPr/>
            </w:pPr>
            <w:r>
              <w:rPr/>
              <w:t>Министр</w:t>
            </w:r>
          </w:p>
        </w:tc>
        <w:tc>
          <w:tcPr>
            <w:tcW w:w="3432" w:type="dxa"/>
            <w:tcBorders/>
          </w:tcPr>
          <w:p>
            <w:pPr>
              <w:pStyle w:val="Style22"/>
              <w:tabs>
                <w:tab w:val="clear" w:pos="720"/>
              </w:tabs>
              <w:bidi w:val="0"/>
              <w:jc w:val="right"/>
              <w:rPr/>
            </w:pPr>
            <w:r>
              <w:rPr/>
              <w:t>М.С. Орешкин</w:t>
            </w:r>
          </w:p>
        </w:tc>
      </w:tr>
    </w:tbl>
    <w:p>
      <w:pPr>
        <w:pStyle w:val="Normal"/>
        <w:rPr/>
      </w:pPr>
      <w:r>
        <w:rPr/>
      </w:r>
    </w:p>
    <w:p>
      <w:pPr>
        <w:pStyle w:val="Normal"/>
        <w:ind w:firstLine="698"/>
        <w:jc w:val="right"/>
        <w:rPr/>
      </w:pPr>
      <w:bookmarkStart w:id="8" w:name="sub_1000"/>
      <w:bookmarkEnd w:id="8"/>
      <w:r>
        <w:rPr>
          <w:rStyle w:val="Style14"/>
          <w:rFonts w:eastAsia="Symbol" w:cs="Wingdings"/>
        </w:rPr>
        <w:t>Приложение N 1</w:t>
        <w:br/>
        <w:t xml:space="preserve">к </w:t>
      </w:r>
      <w:hyperlink w:anchor="sub_0">
        <w:r>
          <w:rPr>
            <w:rStyle w:val="ListLabel5"/>
            <w:rFonts w:ascii="Times New Roman" w:hAnsi="Times New Roman"/>
            <w:b w:val="false"/>
            <w:color w:val="106BBE"/>
          </w:rPr>
          <w:t>приказу</w:t>
        </w:r>
      </w:hyperlink>
      <w:r>
        <w:rPr>
          <w:rStyle w:val="Style14"/>
          <w:rFonts w:eastAsia="Symbol" w:cs="Wingdings"/>
        </w:rPr>
        <w:t xml:space="preserve"> Минэкономразвития России</w:t>
        <w:br/>
        <w:t>от 19.12.2019 г. N 816</w:t>
      </w:r>
    </w:p>
    <w:p>
      <w:pPr>
        <w:pStyle w:val="Normal"/>
        <w:rPr/>
      </w:pPr>
      <w:r>
        <w:rPr/>
      </w:r>
      <w:bookmarkStart w:id="9" w:name="sub_1000_Копия_2"/>
      <w:bookmarkStart w:id="10" w:name="sub_1000_Копия_1"/>
      <w:bookmarkStart w:id="11" w:name="sub_1000_Копия_2"/>
      <w:bookmarkStart w:id="12" w:name="sub_1000_Копия_1"/>
      <w:bookmarkEnd w:id="11"/>
      <w:bookmarkEnd w:id="12"/>
    </w:p>
    <w:p>
      <w:pPr>
        <w:pStyle w:val="Heading1"/>
        <w:bidi w:val="0"/>
        <w:rPr/>
      </w:pPr>
      <w:r>
        <w:rPr/>
        <w:t>Методика</w:t>
        <w:br/>
        <w:t>расчета показателя "Уровень развития государственно-частного партнерства в субъекте Российской Федерации" за 2020 и последующие годы</w:t>
      </w:r>
    </w:p>
    <w:p>
      <w:pPr>
        <w:pStyle w:val="Style26"/>
        <w:bidi w:val="0"/>
        <w:rPr/>
      </w:pPr>
      <w:r>
        <w:rPr/>
        <w:t>С изменениями и дополнениями от:</w:t>
      </w:r>
    </w:p>
    <w:p>
      <w:pPr>
        <w:pStyle w:val="Style24"/>
        <w:bidi w:val="0"/>
        <w:rPr/>
      </w:pPr>
      <w:r>
        <w:rPr/>
        <w:t xml:space="preserve"> </w:t>
      </w:r>
      <w:r>
        <w:rPr>
          <w:shd w:fill="EAEFED" w:val="clear"/>
        </w:rPr>
        <w:t>4 декабря 2020 г., 5 августа 2021 г., 27 декабря 2023 г.</w:t>
      </w:r>
    </w:p>
    <w:p>
      <w:pPr>
        <w:pStyle w:val="Normal"/>
        <w:rPr/>
      </w:pPr>
      <w:r>
        <w:rPr/>
      </w:r>
    </w:p>
    <w:p>
      <w:pPr>
        <w:pStyle w:val="Heading1"/>
        <w:bidi w:val="0"/>
        <w:rPr/>
      </w:pPr>
      <w:bookmarkStart w:id="13" w:name="sub_1100"/>
      <w:bookmarkEnd w:id="13"/>
      <w:r>
        <w:rPr/>
        <w:t>I. Общие положения</w:t>
      </w:r>
    </w:p>
    <w:p>
      <w:pPr>
        <w:pStyle w:val="Normal"/>
        <w:rPr/>
      </w:pPr>
      <w:r>
        <w:rPr/>
      </w:r>
      <w:bookmarkStart w:id="14" w:name="sub_1100_Копия_2"/>
      <w:bookmarkStart w:id="15" w:name="sub_1100_Копия_1"/>
      <w:bookmarkStart w:id="16" w:name="sub_1100_Копия_2"/>
      <w:bookmarkStart w:id="17" w:name="sub_1100_Копия_1"/>
      <w:bookmarkEnd w:id="16"/>
      <w:bookmarkEnd w:id="17"/>
    </w:p>
    <w:p>
      <w:pPr>
        <w:pStyle w:val="Normal"/>
        <w:rPr/>
      </w:pPr>
      <w:bookmarkStart w:id="18" w:name="sub_1001"/>
      <w:bookmarkEnd w:id="18"/>
      <w:r>
        <w:rPr>
          <w:rStyle w:val="Style15"/>
        </w:rPr>
        <w:t xml:space="preserve">1. Настоящая Методика устанавливает порядок расчета значения показателя "Уровень развития государственно-частного партнерства в субъекте Российской Федерации" (далее - показатель уровня развития ГЧП в субъекте Российской Федерации), используемого при расчете национального рейтинга состояния инвестиционного климата в субъектах Российской Федерации, предусмотренного </w:t>
      </w:r>
      <w:hyperlink r:id="rId9">
        <w:r>
          <w:rPr>
            <w:rStyle w:val="ListLabel5"/>
            <w:rFonts w:ascii="Times New Roman" w:hAnsi="Times New Roman"/>
            <w:b w:val="false"/>
            <w:color w:val="106BBE"/>
          </w:rPr>
          <w:t>распоряжением</w:t>
        </w:r>
      </w:hyperlink>
      <w:r>
        <w:rPr>
          <w:rStyle w:val="Style15"/>
        </w:rPr>
        <w:t xml:space="preserve"> Правительства Российской Федерации от 11 апреля 2016 г. N 642-р (Собрание законодательства Российской Федерации, 2016, N 16, ст. 2268).</w:t>
      </w:r>
    </w:p>
    <w:p>
      <w:pPr>
        <w:pStyle w:val="Normal"/>
        <w:rPr/>
      </w:pPr>
      <w:bookmarkStart w:id="19" w:name="sub_1002_Копия_1"/>
      <w:bookmarkStart w:id="20" w:name="sub_1002"/>
      <w:bookmarkEnd w:id="19"/>
      <w:bookmarkEnd w:id="20"/>
      <w:r>
        <w:rPr>
          <w:rStyle w:val="Style15"/>
        </w:rPr>
        <w:t>2. Для целей настоящей Методики применяются следующие основные понятия:</w:t>
      </w:r>
    </w:p>
    <w:p>
      <w:pPr>
        <w:pStyle w:val="Normal"/>
        <w:rPr/>
      </w:pPr>
      <w:bookmarkStart w:id="21" w:name="sub_1002_Копия_2"/>
      <w:bookmarkEnd w:id="21"/>
      <w:r>
        <w:rPr>
          <w:rStyle w:val="Style15"/>
        </w:rPr>
        <w:t xml:space="preserve">"соглашения" - соглашения, контракты и договоры, заключаемые в формах государственно-частного партнерства, учитываемых при расчете показателя уровня развития ГЧП в субъекте Российской Федерации. Перечень основных и иных форм государственно-частного партнерства приведен в </w:t>
      </w:r>
      <w:hyperlink w:anchor="sub_11000">
        <w:r>
          <w:rPr>
            <w:rStyle w:val="ListLabel5"/>
            <w:rFonts w:ascii="Times New Roman" w:hAnsi="Times New Roman"/>
            <w:b w:val="false"/>
            <w:color w:val="106BBE"/>
          </w:rPr>
          <w:t>приложении N 1</w:t>
        </w:r>
      </w:hyperlink>
      <w:r>
        <w:rPr>
          <w:rStyle w:val="Style15"/>
        </w:rPr>
        <w:t xml:space="preserve"> к настоящей Методике;</w:t>
      </w:r>
    </w:p>
    <w:p>
      <w:pPr>
        <w:pStyle w:val="Normal"/>
        <w:rPr/>
      </w:pPr>
      <w:r>
        <w:rPr>
          <w:rStyle w:val="Style15"/>
        </w:rPr>
        <w:t>"проекты ГЧП" - проекты, реализуемые на региональном и муниципальном уровнях в формах государственно-частного партнерства, на основании соглашений;</w:t>
      </w:r>
    </w:p>
    <w:p>
      <w:pPr>
        <w:pStyle w:val="Normal"/>
        <w:rPr/>
      </w:pPr>
      <w:r>
        <w:rPr>
          <w:rStyle w:val="Style15"/>
        </w:rPr>
        <w:t>"объем инвестиций" - планируемый объем денежных средств, расходуемых в целях создания, реконструкции и модернизации недвижимого и движимого имущества и создания результатов интеллектуальной деятельности, определяемый в соответствии с условиями соглашения и сопутствующими документами к нему, включая финансово-экономическую модель;</w:t>
      </w:r>
    </w:p>
    <w:p>
      <w:pPr>
        <w:pStyle w:val="Normal"/>
        <w:rPr/>
      </w:pPr>
      <w:r>
        <w:rPr>
          <w:rStyle w:val="Style15"/>
        </w:rPr>
        <w:t xml:space="preserve">"концессионное соглашение" - концессионное соглашение, заключаемое в соответствии с </w:t>
      </w:r>
      <w:hyperlink r:id="rId10">
        <w:r>
          <w:rPr>
            <w:rStyle w:val="ListLabel5"/>
            <w:rFonts w:ascii="Times New Roman" w:hAnsi="Times New Roman"/>
            <w:b w:val="false"/>
            <w:color w:val="106BBE"/>
          </w:rPr>
          <w:t>Федеральным законом</w:t>
        </w:r>
      </w:hyperlink>
      <w:r>
        <w:rPr>
          <w:rStyle w:val="Style15"/>
        </w:rPr>
        <w:t xml:space="preserve"> от 21 июля 2005 г. N 115-ФЗ "О концессионных соглашениях" (далее - Закон N 115-ФЗ);</w:t>
      </w:r>
    </w:p>
    <w:p>
      <w:pPr>
        <w:pStyle w:val="Normal"/>
        <w:rPr/>
      </w:pPr>
      <w:r>
        <w:rPr>
          <w:rStyle w:val="Style15"/>
        </w:rPr>
        <w:t xml:space="preserve">"соглашение о ГЧП (МЧП)" - соглашение о государственно-частном партнерстве, соглашение о муниципально-частном партнерстве, заключаемые в соответствии с </w:t>
      </w:r>
      <w:hyperlink r:id="rId11">
        <w:r>
          <w:rPr>
            <w:rStyle w:val="ListLabel5"/>
            <w:rFonts w:ascii="Times New Roman" w:hAnsi="Times New Roman"/>
            <w:b w:val="false"/>
            <w:color w:val="106BBE"/>
          </w:rPr>
          <w:t>Федеральным законом</w:t>
        </w:r>
      </w:hyperlink>
      <w:r>
        <w:rPr>
          <w:rStyle w:val="Style15"/>
        </w:rPr>
        <w:t xml:space="preserve">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Закон N 224-ФЗ);</w:t>
      </w:r>
    </w:p>
    <w:p>
      <w:pPr>
        <w:pStyle w:val="Normal"/>
        <w:rPr/>
      </w:pPr>
      <w:r>
        <w:rPr>
          <w:rStyle w:val="Style15"/>
        </w:rPr>
        <w:t>"стадия реализации" - один из этапов реализации проекта ГЧП (принятие решения о заключении соглашения, подписание соглашения, завершение создания, модернизации либо реконструкции объекта соглашения, прекращение действия соглашения по истечении его срока);</w:t>
      </w:r>
    </w:p>
    <w:p>
      <w:pPr>
        <w:pStyle w:val="Normal"/>
        <w:rPr/>
      </w:pPr>
      <w:r>
        <w:rPr>
          <w:rStyle w:val="Style15"/>
        </w:rPr>
        <w:t xml:space="preserve">"ГАС "Управление" - государственная автоматизированная информационная система "Управление", созданная в соответствии с </w:t>
      </w:r>
      <w:hyperlink r:id="rId12">
        <w:r>
          <w:rPr>
            <w:rStyle w:val="ListLabel5"/>
            <w:rFonts w:ascii="Times New Roman" w:hAnsi="Times New Roman"/>
            <w:b w:val="false"/>
            <w:color w:val="106BBE"/>
          </w:rPr>
          <w:t>постановлением</w:t>
        </w:r>
      </w:hyperlink>
      <w:r>
        <w:rPr>
          <w:rStyle w:val="Style15"/>
        </w:rPr>
        <w:t xml:space="preserve"> Правительства Российской Федерации от 25 декабря 2009 г. N 1088 "О государственной автоматизированной информационной системе "Управление";</w:t>
      </w:r>
    </w:p>
    <w:p>
      <w:pPr>
        <w:pStyle w:val="Normal"/>
        <w:rPr/>
      </w:pPr>
      <w:r>
        <w:rPr>
          <w:rStyle w:val="Style15"/>
        </w:rPr>
        <w:t>"модуль ГЧП в ГАС "Управление" - модуль "Мониторинг проектов государственно-частного партнерства" в ГАС "Управление";</w:t>
      </w:r>
    </w:p>
    <w:p>
      <w:pPr>
        <w:pStyle w:val="Normal"/>
        <w:rPr/>
      </w:pPr>
      <w:r>
        <w:rPr>
          <w:rStyle w:val="Style15"/>
        </w:rPr>
        <w:t>"мониторинг" - проводимый Минэкономразвития России процесс оценки полноты и достоверности внесенной в модуль ГЧП в ГАС "Управление" информации о проектах ГЧП;</w:t>
      </w:r>
    </w:p>
    <w:p>
      <w:pPr>
        <w:pStyle w:val="Normal"/>
        <w:rPr/>
      </w:pPr>
      <w:r>
        <w:rPr>
          <w:rStyle w:val="Style15"/>
        </w:rPr>
        <w:t>орган власти - орган исполнительной власти субъекта Российской Федерации, орган местного самоуправления;</w:t>
      </w:r>
    </w:p>
    <w:p>
      <w:pPr>
        <w:pStyle w:val="Normal"/>
        <w:rPr/>
      </w:pPr>
      <w:r>
        <w:rPr>
          <w:rStyle w:val="Style15"/>
        </w:rPr>
        <w:t xml:space="preserve">"экспертные организации" - независимые экспертные организации, привлекаемые Минэкономразвития России на безвозмездной основе для оценки отдельных показателей настоящей Методики, перечень которых размещается на официальном сайте Минэкономразвития России в информационно-телекоммуникационной сети "Интернет" </w:t>
      </w:r>
      <w:hyperlink r:id="rId13">
        <w:r>
          <w:rPr>
            <w:rStyle w:val="ListLabel5"/>
            <w:rFonts w:ascii="Times New Roman" w:hAnsi="Times New Roman"/>
            <w:b w:val="false"/>
            <w:color w:val="106BBE"/>
          </w:rPr>
          <w:t>http://economy.gov.ru</w:t>
        </w:r>
      </w:hyperlink>
      <w:r>
        <w:rPr>
          <w:rStyle w:val="Style15"/>
        </w:rPr>
        <w:t>.</w:t>
      </w:r>
    </w:p>
    <w:p>
      <w:pPr>
        <w:pStyle w:val="Normal"/>
        <w:rPr/>
      </w:pPr>
      <w:bookmarkStart w:id="22" w:name="sub_1003"/>
      <w:bookmarkEnd w:id="22"/>
      <w:r>
        <w:rPr>
          <w:rStyle w:val="Style15"/>
        </w:rPr>
        <w:t>3. Значение показателя уровня развития ГЧП в субъекте Российской Федерации определяется на основе оценки значений составляющих его факторов (далее - факторы):</w:t>
      </w:r>
    </w:p>
    <w:p>
      <w:pPr>
        <w:pStyle w:val="Normal"/>
        <w:rPr/>
      </w:pPr>
      <w:bookmarkStart w:id="23" w:name="sub_10031_Копия_1"/>
      <w:bookmarkStart w:id="24" w:name="sub_10031"/>
      <w:bookmarkEnd w:id="23"/>
      <w:bookmarkEnd w:id="24"/>
      <w:r>
        <w:rPr>
          <w:rStyle w:val="Style15"/>
        </w:rPr>
        <w:t>а) динамика реализации проектов ГЧП в субъекте Российской Федерации за отчетный год;</w:t>
      </w:r>
    </w:p>
    <w:p>
      <w:pPr>
        <w:pStyle w:val="Normal"/>
        <w:rPr/>
      </w:pPr>
      <w:bookmarkStart w:id="25" w:name="sub_10032_Копия_1"/>
      <w:bookmarkStart w:id="26" w:name="sub_10032"/>
      <w:bookmarkEnd w:id="25"/>
      <w:bookmarkEnd w:id="26"/>
      <w:r>
        <w:rPr>
          <w:rStyle w:val="Style15"/>
        </w:rPr>
        <w:t>б) накопленный до отчетного года опыт реализации проектов ГЧП в субъекте Российской Федерации;</w:t>
      </w:r>
    </w:p>
    <w:p>
      <w:pPr>
        <w:pStyle w:val="Normal"/>
        <w:rPr/>
      </w:pPr>
      <w:bookmarkStart w:id="27" w:name="sub_10033_Копия_1"/>
      <w:bookmarkStart w:id="28" w:name="sub_10033"/>
      <w:bookmarkEnd w:id="27"/>
      <w:bookmarkEnd w:id="28"/>
      <w:r>
        <w:rPr>
          <w:rStyle w:val="Style15"/>
        </w:rPr>
        <w:t>в) состояние нормативно-институциональной среды в субъекте Российской Федерации.</w:t>
      </w:r>
    </w:p>
    <w:p>
      <w:pPr>
        <w:pStyle w:val="Normal"/>
        <w:rPr/>
      </w:pPr>
      <w:bookmarkStart w:id="29" w:name="sub_1004_Копия_1"/>
      <w:bookmarkStart w:id="30" w:name="sub_1004"/>
      <w:bookmarkEnd w:id="29"/>
      <w:bookmarkEnd w:id="30"/>
      <w:r>
        <w:rPr>
          <w:rStyle w:val="Style15"/>
        </w:rPr>
        <w:t>4. Оценка значений факторов динамики реализации проектов ГЧП в субъекте Российской Федерации за отчетный год и накопленного до отчетного года опыта реализации проектов ГЧП в субъекте Российской Федерации осуществляется на основании сведений, содержащихся в модуле ГЧП в ГАС "Управление". Для оценки фактора состояния нормативно-институциональной среды в субъекте Российской Федерации используются сведения, содержащиеся в ГАС "Управление", а также иная релевантная информация, полученная от экспертных организаций.</w:t>
      </w:r>
    </w:p>
    <w:p>
      <w:pPr>
        <w:pStyle w:val="Style19"/>
        <w:bidi w:val="0"/>
        <w:rPr/>
      </w:pPr>
      <w:bookmarkStart w:id="31" w:name="sub_1005_Копия_1"/>
      <w:bookmarkStart w:id="32" w:name="sub_1005"/>
      <w:bookmarkEnd w:id="31"/>
      <w:bookmarkEnd w:id="32"/>
      <w:r>
        <w:rPr>
          <w:color w:val="000000"/>
          <w:sz w:val="16"/>
          <w:shd w:fill="F0F0F0" w:val="clear"/>
        </w:rPr>
        <w:t>Информация об изменениях:</w:t>
      </w:r>
    </w:p>
    <w:p>
      <w:pPr>
        <w:pStyle w:val="Style23"/>
        <w:bidi w:val="0"/>
        <w:rPr/>
      </w:pPr>
      <w:bookmarkStart w:id="33" w:name="sub_1005_Копия_2"/>
      <w:bookmarkEnd w:id="33"/>
      <w:r>
        <w:rPr/>
        <w:t xml:space="preserve"> </w:t>
      </w:r>
      <w:r>
        <w:rPr>
          <w:shd w:fill="F0F0F0" w:val="clear"/>
        </w:rPr>
        <w:t xml:space="preserve">Пункт 5 изменен с 4 декабря 2020 г. - </w:t>
      </w:r>
      <w:hyperlink r:id="rId14">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4 декабря 2020 г. N 809</w:t>
      </w:r>
    </w:p>
    <w:p>
      <w:pPr>
        <w:pStyle w:val="Style23"/>
        <w:bidi w:val="0"/>
        <w:rPr/>
      </w:pPr>
      <w:r>
        <w:rPr/>
        <w:t xml:space="preserve"> </w:t>
      </w:r>
      <w:hyperlink r:id="rId15">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5. Для оценки значений факторов на основании сведений, содержащихся в ГАС "Управление", используются сведения о проектах ГЧП и иные сведения, внесенные в ГАС "Управление" по состоянию на 15 февраля года, следующего за отчетным, если иное не установлено настоящей Методикой.</w:t>
      </w:r>
    </w:p>
    <w:p>
      <w:pPr>
        <w:pStyle w:val="Normal"/>
        <w:rPr/>
      </w:pPr>
      <w:r>
        <w:rPr/>
      </w:r>
    </w:p>
    <w:p>
      <w:pPr>
        <w:pStyle w:val="Heading1"/>
        <w:bidi w:val="0"/>
        <w:rPr/>
      </w:pPr>
      <w:bookmarkStart w:id="34" w:name="sub_12029"/>
      <w:bookmarkEnd w:id="34"/>
      <w:r>
        <w:rPr/>
        <w:t>II. Расчет показателя уровня развития ГЧП в субъекте Российской Федерации</w:t>
      </w:r>
    </w:p>
    <w:p>
      <w:pPr>
        <w:pStyle w:val="Normal"/>
        <w:rPr/>
      </w:pPr>
      <w:r>
        <w:rPr/>
      </w:r>
      <w:bookmarkStart w:id="35" w:name="sub_12029_Копия_2"/>
      <w:bookmarkStart w:id="36" w:name="sub_12029_Копия_1"/>
      <w:bookmarkStart w:id="37" w:name="sub_12029_Копия_2"/>
      <w:bookmarkStart w:id="38" w:name="sub_12029_Копия_1"/>
      <w:bookmarkEnd w:id="37"/>
      <w:bookmarkEnd w:id="38"/>
    </w:p>
    <w:p>
      <w:pPr>
        <w:pStyle w:val="Style19"/>
        <w:bidi w:val="0"/>
        <w:rPr/>
      </w:pPr>
      <w:bookmarkStart w:id="39" w:name="sub_1006"/>
      <w:bookmarkEnd w:id="39"/>
      <w:r>
        <w:rPr>
          <w:color w:val="000000"/>
          <w:sz w:val="16"/>
          <w:shd w:fill="F0F0F0" w:val="clear"/>
        </w:rPr>
        <w:t>Информация об изменениях:</w:t>
      </w:r>
    </w:p>
    <w:p>
      <w:pPr>
        <w:pStyle w:val="Style23"/>
        <w:bidi w:val="0"/>
        <w:rPr/>
      </w:pPr>
      <w:bookmarkStart w:id="40" w:name="sub_1006_Копия_1"/>
      <w:bookmarkEnd w:id="40"/>
      <w:r>
        <w:rPr/>
        <w:t xml:space="preserve"> </w:t>
      </w:r>
      <w:r>
        <w:rPr>
          <w:shd w:fill="F0F0F0" w:val="clear"/>
        </w:rPr>
        <w:t xml:space="preserve">Пункт 6 изменен с 27 декабря 2023 г. - </w:t>
      </w:r>
      <w:hyperlink r:id="rId16">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27 декабря 2023 г. N 924</w:t>
      </w:r>
    </w:p>
    <w:p>
      <w:pPr>
        <w:pStyle w:val="Style23"/>
        <w:bidi w:val="0"/>
        <w:rPr/>
      </w:pPr>
      <w:r>
        <w:rPr/>
        <w:t xml:space="preserve"> </w:t>
      </w:r>
      <w:hyperlink r:id="rId17">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6. Расчет показателя уровня развития ГЧП в субъекте Российской Федерации (УРГЧП</w:t>
      </w:r>
      <w:r>
        <w:rPr>
          <w:rStyle w:val="Style15"/>
          <w:vertAlign w:val="subscript"/>
        </w:rPr>
        <w:t> i</w:t>
      </w:r>
      <w:r>
        <w:rPr>
          <w:rStyle w:val="Style15"/>
        </w:rPr>
        <w:t>) определяется по формуле:</w:t>
      </w:r>
    </w:p>
    <w:p>
      <w:pPr>
        <w:pStyle w:val="Normal"/>
        <w:rPr/>
      </w:pPr>
      <w:r>
        <w:rPr/>
      </w:r>
    </w:p>
    <w:p>
      <w:pPr>
        <w:pStyle w:val="Normal"/>
        <w:ind w:firstLine="698"/>
        <w:jc w:val="center"/>
        <w:rPr/>
      </w:pPr>
      <w:r>
        <w:rPr>
          <w:rStyle w:val="Style15"/>
        </w:rPr>
        <w:t>УРГЧП</w:t>
      </w:r>
      <w:r>
        <w:rPr>
          <w:rStyle w:val="Style15"/>
          <w:vertAlign w:val="subscript"/>
        </w:rPr>
        <w:t> i</w:t>
      </w:r>
      <w:r>
        <w:rPr>
          <w:rStyle w:val="Style15"/>
        </w:rPr>
        <w:t>=</w:t>
      </w:r>
      <w:r>
        <w:rPr/>
        <w:drawing>
          <wp:inline distT="0" distB="0" distL="0" distR="0">
            <wp:extent cx="110490" cy="21145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8"/>
                    <a:stretch>
                      <a:fillRect/>
                    </a:stretch>
                  </pic:blipFill>
                  <pic:spPr bwMode="auto">
                    <a:xfrm>
                      <a:off x="0" y="0"/>
                      <a:ext cx="110490" cy="211455"/>
                    </a:xfrm>
                    <a:prstGeom prst="rect">
                      <a:avLst/>
                    </a:prstGeom>
                  </pic:spPr>
                </pic:pic>
              </a:graphicData>
            </a:graphic>
          </wp:inline>
        </w:drawing>
      </w:r>
      <w:r>
        <w:rPr>
          <w:rStyle w:val="Style15"/>
          <w:vertAlign w:val="subscript"/>
        </w:rPr>
        <w:t> БД</w:t>
      </w:r>
      <w:r>
        <w:rPr/>
        <w:drawing>
          <wp:inline distT="0" distB="0" distL="0" distR="0">
            <wp:extent cx="110490" cy="21145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9"/>
                    <a:stretch>
                      <a:fillRect/>
                    </a:stretch>
                  </pic:blipFill>
                  <pic:spPr bwMode="auto">
                    <a:xfrm>
                      <a:off x="0" y="0"/>
                      <a:ext cx="110490" cy="211455"/>
                    </a:xfrm>
                    <a:prstGeom prst="rect">
                      <a:avLst/>
                    </a:prstGeom>
                  </pic:spPr>
                </pic:pic>
              </a:graphicData>
            </a:graphic>
          </wp:inline>
        </w:drawing>
      </w:r>
      <w:r>
        <w:rPr>
          <w:rStyle w:val="Style15"/>
        </w:rPr>
        <w:t>БД</w:t>
      </w:r>
      <w:r>
        <w:rPr>
          <w:rStyle w:val="Style15"/>
          <w:vertAlign w:val="subscript"/>
        </w:rPr>
        <w:t> i</w:t>
      </w:r>
      <w:r>
        <w:rPr>
          <w:rStyle w:val="Style15"/>
        </w:rPr>
        <w:t>+</w:t>
      </w:r>
      <w:r>
        <w:rPr/>
        <w:drawing>
          <wp:inline distT="0" distB="0" distL="0" distR="0">
            <wp:extent cx="110490" cy="211455"/>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20"/>
                    <a:stretch>
                      <a:fillRect/>
                    </a:stretch>
                  </pic:blipFill>
                  <pic:spPr bwMode="auto">
                    <a:xfrm>
                      <a:off x="0" y="0"/>
                      <a:ext cx="110490" cy="211455"/>
                    </a:xfrm>
                    <a:prstGeom prst="rect">
                      <a:avLst/>
                    </a:prstGeom>
                  </pic:spPr>
                </pic:pic>
              </a:graphicData>
            </a:graphic>
          </wp:inline>
        </w:drawing>
      </w:r>
      <w:r>
        <w:rPr>
          <w:rStyle w:val="Style15"/>
          <w:vertAlign w:val="subscript"/>
        </w:rPr>
        <w:t> БО</w:t>
      </w:r>
      <w:r>
        <w:rPr/>
        <w:drawing>
          <wp:inline distT="0" distB="0" distL="0" distR="0">
            <wp:extent cx="110490" cy="211455"/>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21"/>
                    <a:stretch>
                      <a:fillRect/>
                    </a:stretch>
                  </pic:blipFill>
                  <pic:spPr bwMode="auto">
                    <a:xfrm>
                      <a:off x="0" y="0"/>
                      <a:ext cx="110490" cy="211455"/>
                    </a:xfrm>
                    <a:prstGeom prst="rect">
                      <a:avLst/>
                    </a:prstGeom>
                  </pic:spPr>
                </pic:pic>
              </a:graphicData>
            </a:graphic>
          </wp:inline>
        </w:drawing>
      </w:r>
      <w:r>
        <w:rPr>
          <w:rStyle w:val="Style15"/>
        </w:rPr>
        <w:t>БО</w:t>
      </w:r>
      <w:r>
        <w:rPr>
          <w:rStyle w:val="Style15"/>
          <w:vertAlign w:val="subscript"/>
        </w:rPr>
        <w:t> i</w:t>
      </w:r>
      <w:r>
        <w:rPr>
          <w:rStyle w:val="Style15"/>
        </w:rPr>
        <w:t>+</w:t>
      </w:r>
      <w:r>
        <w:rPr/>
        <w:drawing>
          <wp:inline distT="0" distB="0" distL="0" distR="0">
            <wp:extent cx="110490" cy="211455"/>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22"/>
                    <a:stretch>
                      <a:fillRect/>
                    </a:stretch>
                  </pic:blipFill>
                  <pic:spPr bwMode="auto">
                    <a:xfrm>
                      <a:off x="0" y="0"/>
                      <a:ext cx="110490" cy="211455"/>
                    </a:xfrm>
                    <a:prstGeom prst="rect">
                      <a:avLst/>
                    </a:prstGeom>
                  </pic:spPr>
                </pic:pic>
              </a:graphicData>
            </a:graphic>
          </wp:inline>
        </w:drawing>
      </w:r>
      <w:r>
        <w:rPr>
          <w:rStyle w:val="Style15"/>
          <w:vertAlign w:val="subscript"/>
        </w:rPr>
        <w:t> БС</w:t>
      </w:r>
      <w:r>
        <w:rPr/>
        <w:drawing>
          <wp:inline distT="0" distB="0" distL="0" distR="0">
            <wp:extent cx="110490" cy="211455"/>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23"/>
                    <a:stretch>
                      <a:fillRect/>
                    </a:stretch>
                  </pic:blipFill>
                  <pic:spPr bwMode="auto">
                    <a:xfrm>
                      <a:off x="0" y="0"/>
                      <a:ext cx="110490" cy="211455"/>
                    </a:xfrm>
                    <a:prstGeom prst="rect">
                      <a:avLst/>
                    </a:prstGeom>
                  </pic:spPr>
                </pic:pic>
              </a:graphicData>
            </a:graphic>
          </wp:inline>
        </w:drawing>
      </w:r>
      <w:r>
        <w:rPr>
          <w:rStyle w:val="Style15"/>
        </w:rPr>
        <w:t>БС</w:t>
      </w:r>
      <w:r>
        <w:rPr>
          <w:rStyle w:val="Style15"/>
          <w:vertAlign w:val="subscript"/>
        </w:rPr>
        <w:t> i</w:t>
      </w:r>
      <w:r>
        <w:rPr>
          <w:rStyle w:val="Style15"/>
        </w:rPr>
        <w:t>,</w:t>
      </w:r>
    </w:p>
    <w:p>
      <w:pPr>
        <w:pStyle w:val="Normal"/>
        <w:rPr/>
      </w:pPr>
      <w:r>
        <w:rPr/>
      </w:r>
    </w:p>
    <w:p>
      <w:pPr>
        <w:pStyle w:val="Normal"/>
        <w:rPr/>
      </w:pPr>
      <w:r>
        <w:rPr>
          <w:rStyle w:val="Style15"/>
        </w:rPr>
        <w:t>где:</w:t>
      </w:r>
    </w:p>
    <w:p>
      <w:pPr>
        <w:pStyle w:val="Normal"/>
        <w:rPr/>
      </w:pPr>
      <w:r>
        <w:rPr>
          <w:rStyle w:val="Style15"/>
        </w:rPr>
        <w:t>БД</w:t>
      </w:r>
      <w:r>
        <w:rPr>
          <w:rStyle w:val="Style15"/>
          <w:vertAlign w:val="subscript"/>
        </w:rPr>
        <w:t> i</w:t>
      </w:r>
      <w:r>
        <w:rPr>
          <w:rStyle w:val="Style15"/>
        </w:rPr>
        <w:t xml:space="preserve"> - балльная оценка фактора динамики реализации проектов ГЧП в i-м субъекте Российской Федерации за отчетный год;</w:t>
      </w:r>
    </w:p>
    <w:p>
      <w:pPr>
        <w:pStyle w:val="Normal"/>
        <w:rPr/>
      </w:pPr>
      <w:r>
        <w:rPr>
          <w:rStyle w:val="Style15"/>
        </w:rPr>
        <w:t>БО</w:t>
      </w:r>
      <w:r>
        <w:rPr>
          <w:rStyle w:val="Style15"/>
          <w:vertAlign w:val="subscript"/>
        </w:rPr>
        <w:t> i</w:t>
      </w:r>
      <w:r>
        <w:rPr>
          <w:rStyle w:val="Style15"/>
        </w:rPr>
        <w:t xml:space="preserve"> - балльная оценка фактора накопленного до отчетного года опыта реализации проектов ГЧП в i-м субъекте Российской Федерации;</w:t>
      </w:r>
    </w:p>
    <w:p>
      <w:pPr>
        <w:pStyle w:val="Normal"/>
        <w:rPr/>
      </w:pPr>
      <w:r>
        <w:rPr>
          <w:rStyle w:val="Style15"/>
        </w:rPr>
        <w:t>БС</w:t>
      </w:r>
      <w:r>
        <w:rPr>
          <w:rStyle w:val="Style15"/>
          <w:vertAlign w:val="subscript"/>
        </w:rPr>
        <w:t> i</w:t>
      </w:r>
      <w:r>
        <w:rPr>
          <w:rStyle w:val="Style15"/>
        </w:rPr>
        <w:t xml:space="preserve"> - балльная оценка фактора состояния нормативно-институциональной среды в i-м субъекте Российской Федерации;</w:t>
      </w:r>
    </w:p>
    <w:p>
      <w:pPr>
        <w:pStyle w:val="Normal"/>
        <w:rPr/>
      </w:pPr>
      <w:bookmarkStart w:id="41" w:name="sub_10067"/>
      <w:bookmarkEnd w:id="41"/>
      <w:r>
        <w:rPr/>
        <w:drawing>
          <wp:inline distT="0" distB="0" distL="0" distR="0">
            <wp:extent cx="110490" cy="211455"/>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24"/>
                    <a:stretch>
                      <a:fillRect/>
                    </a:stretch>
                  </pic:blipFill>
                  <pic:spPr bwMode="auto">
                    <a:xfrm>
                      <a:off x="0" y="0"/>
                      <a:ext cx="110490" cy="211455"/>
                    </a:xfrm>
                    <a:prstGeom prst="rect">
                      <a:avLst/>
                    </a:prstGeom>
                  </pic:spPr>
                </pic:pic>
              </a:graphicData>
            </a:graphic>
          </wp:inline>
        </w:drawing>
      </w:r>
      <w:r>
        <w:rPr>
          <w:rStyle w:val="Style15"/>
          <w:vertAlign w:val="subscript"/>
        </w:rPr>
        <w:t> </w:t>
      </w:r>
      <w:r>
        <w:rPr>
          <w:rStyle w:val="Style15"/>
          <w:vertAlign w:val="subscript"/>
        </w:rPr>
        <w:t>БД</w:t>
      </w:r>
      <w:r>
        <w:rPr>
          <w:rStyle w:val="Style15"/>
        </w:rPr>
        <w:t xml:space="preserve"> - удельный вес балльной оценки фактора динамики реализации проектов ГЧП в i-м субъекте Российской Федерации за отчетный год, принимаемый равным 0,45;</w:t>
      </w:r>
    </w:p>
    <w:p>
      <w:pPr>
        <w:pStyle w:val="Normal"/>
        <w:rPr/>
      </w:pPr>
      <w:bookmarkStart w:id="42" w:name="sub_10068_Копия_1"/>
      <w:bookmarkStart w:id="43" w:name="sub_10068"/>
      <w:bookmarkEnd w:id="42"/>
      <w:bookmarkEnd w:id="43"/>
      <w:r>
        <w:rPr/>
        <w:drawing>
          <wp:inline distT="0" distB="0" distL="0" distR="0">
            <wp:extent cx="110490" cy="211455"/>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25"/>
                    <a:stretch>
                      <a:fillRect/>
                    </a:stretch>
                  </pic:blipFill>
                  <pic:spPr bwMode="auto">
                    <a:xfrm>
                      <a:off x="0" y="0"/>
                      <a:ext cx="110490" cy="211455"/>
                    </a:xfrm>
                    <a:prstGeom prst="rect">
                      <a:avLst/>
                    </a:prstGeom>
                  </pic:spPr>
                </pic:pic>
              </a:graphicData>
            </a:graphic>
          </wp:inline>
        </w:drawing>
      </w:r>
      <w:r>
        <w:rPr>
          <w:rStyle w:val="Style15"/>
          <w:vertAlign w:val="subscript"/>
        </w:rPr>
        <w:t> </w:t>
      </w:r>
      <w:r>
        <w:rPr>
          <w:rStyle w:val="Style15"/>
          <w:vertAlign w:val="subscript"/>
        </w:rPr>
        <w:t>БО</w:t>
      </w:r>
      <w:r>
        <w:rPr>
          <w:rStyle w:val="Style15"/>
        </w:rPr>
        <w:t xml:space="preserve"> - удельный вес балльной оценки фактора накопленного до отчетного года опыта реализации проектов ГЧП в i-м субъекте Российской Федерации, принимаемый равным 0,45;</w:t>
      </w:r>
    </w:p>
    <w:p>
      <w:pPr>
        <w:pStyle w:val="Normal"/>
        <w:rPr/>
      </w:pPr>
      <w:bookmarkStart w:id="44" w:name="sub_10069_Копия_1"/>
      <w:bookmarkStart w:id="45" w:name="sub_10069"/>
      <w:bookmarkEnd w:id="44"/>
      <w:bookmarkEnd w:id="45"/>
      <w:r>
        <w:rPr/>
        <w:drawing>
          <wp:inline distT="0" distB="0" distL="0" distR="0">
            <wp:extent cx="110490" cy="211455"/>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26"/>
                    <a:stretch>
                      <a:fillRect/>
                    </a:stretch>
                  </pic:blipFill>
                  <pic:spPr bwMode="auto">
                    <a:xfrm>
                      <a:off x="0" y="0"/>
                      <a:ext cx="110490" cy="211455"/>
                    </a:xfrm>
                    <a:prstGeom prst="rect">
                      <a:avLst/>
                    </a:prstGeom>
                  </pic:spPr>
                </pic:pic>
              </a:graphicData>
            </a:graphic>
          </wp:inline>
        </w:drawing>
      </w:r>
      <w:r>
        <w:rPr>
          <w:rStyle w:val="Style15"/>
          <w:vertAlign w:val="subscript"/>
        </w:rPr>
        <w:t> </w:t>
      </w:r>
      <w:r>
        <w:rPr>
          <w:rStyle w:val="Style15"/>
          <w:vertAlign w:val="subscript"/>
        </w:rPr>
        <w:t>БС</w:t>
      </w:r>
      <w:r>
        <w:rPr>
          <w:rStyle w:val="Style15"/>
        </w:rPr>
        <w:t xml:space="preserve"> - удельный вес балльной оценки фактора состояния нормативно-институциональной среды в i-м субъекте Российской Федерации, принимаемый равным 0,1;</w:t>
      </w:r>
    </w:p>
    <w:p>
      <w:pPr>
        <w:pStyle w:val="Normal"/>
        <w:rPr/>
      </w:pPr>
      <w:bookmarkStart w:id="46" w:name="sub_10069_Копия_2"/>
      <w:bookmarkEnd w:id="46"/>
      <w:r>
        <w:rPr>
          <w:rStyle w:val="Style15"/>
        </w:rPr>
        <w:t>i - порядковый номер субъекта Российской Федерации, принимающий значение от 1 до 85.</w:t>
      </w:r>
    </w:p>
    <w:p>
      <w:pPr>
        <w:pStyle w:val="Normal"/>
        <w:rPr/>
      </w:pPr>
      <w:r>
        <w:rPr/>
      </w:r>
    </w:p>
    <w:p>
      <w:pPr>
        <w:pStyle w:val="Heading1"/>
        <w:bidi w:val="0"/>
        <w:rPr/>
      </w:pPr>
      <w:bookmarkStart w:id="47" w:name="sub_1300"/>
      <w:bookmarkEnd w:id="47"/>
      <w:r>
        <w:rPr/>
        <w:t>III. Балльная оценка фактора динамики реализации проектов ГЧП в субъекте Российской Федерации за отчетный год</w:t>
      </w:r>
    </w:p>
    <w:p>
      <w:pPr>
        <w:pStyle w:val="Normal"/>
        <w:rPr/>
      </w:pPr>
      <w:r>
        <w:rPr/>
      </w:r>
      <w:bookmarkStart w:id="48" w:name="sub_1300_Копия_2"/>
      <w:bookmarkStart w:id="49" w:name="sub_1300_Копия_1"/>
      <w:bookmarkStart w:id="50" w:name="sub_1300_Копия_2"/>
      <w:bookmarkStart w:id="51" w:name="sub_1300_Копия_1"/>
      <w:bookmarkEnd w:id="50"/>
      <w:bookmarkEnd w:id="51"/>
    </w:p>
    <w:p>
      <w:pPr>
        <w:pStyle w:val="Style19"/>
        <w:bidi w:val="0"/>
        <w:rPr/>
      </w:pPr>
      <w:bookmarkStart w:id="52" w:name="sub_1007"/>
      <w:bookmarkEnd w:id="52"/>
      <w:r>
        <w:rPr>
          <w:color w:val="000000"/>
          <w:sz w:val="16"/>
          <w:shd w:fill="F0F0F0" w:val="clear"/>
        </w:rPr>
        <w:t>Информация об изменениях:</w:t>
      </w:r>
    </w:p>
    <w:p>
      <w:pPr>
        <w:pStyle w:val="Style23"/>
        <w:bidi w:val="0"/>
        <w:rPr/>
      </w:pPr>
      <w:bookmarkStart w:id="53" w:name="sub_1007_Копия_1"/>
      <w:bookmarkEnd w:id="53"/>
      <w:r>
        <w:rPr/>
        <w:t xml:space="preserve"> </w:t>
      </w:r>
      <w:r>
        <w:rPr>
          <w:shd w:fill="F0F0F0" w:val="clear"/>
        </w:rPr>
        <w:t xml:space="preserve">Пункт 7 изменен с 5 августа 2021 г. - </w:t>
      </w:r>
      <w:hyperlink r:id="rId27">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28">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7. Балльная оценка фактора динамики реализации проектов ГЧП в i-м субъекте Российской Федерации за отчетный год (БД</w:t>
      </w:r>
      <w:r>
        <w:rPr>
          <w:rStyle w:val="Style15"/>
          <w:vertAlign w:val="subscript"/>
        </w:rPr>
        <w:t> i</w:t>
      </w:r>
      <w:r>
        <w:rPr>
          <w:rStyle w:val="Style15"/>
        </w:rPr>
        <w:t>) определяется по формуле:</w:t>
      </w:r>
    </w:p>
    <w:p>
      <w:pPr>
        <w:pStyle w:val="Normal"/>
        <w:rPr/>
      </w:pPr>
      <w:r>
        <w:rPr/>
      </w:r>
    </w:p>
    <w:p>
      <w:pPr>
        <w:pStyle w:val="Normal"/>
        <w:ind w:firstLine="698"/>
        <w:jc w:val="center"/>
        <w:rPr/>
      </w:pPr>
      <w:r>
        <w:rPr/>
        <w:drawing>
          <wp:inline distT="0" distB="0" distL="0" distR="0">
            <wp:extent cx="1492885" cy="568325"/>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29"/>
                    <a:stretch>
                      <a:fillRect/>
                    </a:stretch>
                  </pic:blipFill>
                  <pic:spPr bwMode="auto">
                    <a:xfrm>
                      <a:off x="0" y="0"/>
                      <a:ext cx="1492885" cy="568325"/>
                    </a:xfrm>
                    <a:prstGeom prst="rect">
                      <a:avLst/>
                    </a:prstGeom>
                  </pic:spPr>
                </pic:pic>
              </a:graphicData>
            </a:graphic>
          </wp:inline>
        </w:drawing>
      </w:r>
      <w:r>
        <w:rPr>
          <w:rStyle w:val="Style15"/>
        </w:rPr>
        <w:t>,</w:t>
      </w:r>
    </w:p>
    <w:p>
      <w:pPr>
        <w:pStyle w:val="Normal"/>
        <w:rPr/>
      </w:pPr>
      <w:r>
        <w:rPr/>
      </w:r>
    </w:p>
    <w:p>
      <w:pPr>
        <w:pStyle w:val="Normal"/>
        <w:rPr/>
      </w:pPr>
      <w:r>
        <w:rPr>
          <w:rStyle w:val="Style15"/>
        </w:rPr>
        <w:t>где:</w:t>
      </w:r>
    </w:p>
    <w:p>
      <w:pPr>
        <w:pStyle w:val="Normal"/>
        <w:rPr/>
      </w:pPr>
      <w:r>
        <w:rPr>
          <w:rStyle w:val="Style15"/>
        </w:rPr>
        <w:t>ДО</w:t>
      </w:r>
      <w:r>
        <w:rPr>
          <w:rStyle w:val="Style15"/>
          <w:vertAlign w:val="subscript"/>
        </w:rPr>
        <w:t> i</w:t>
      </w:r>
      <w:r>
        <w:rPr>
          <w:rStyle w:val="Style15"/>
        </w:rPr>
        <w:t xml:space="preserve"> - значение показателя, учитывающего динамику реализации проектов ГЧП в i-м субъекте Российской Федерации за отчетный год;</w:t>
      </w:r>
    </w:p>
    <w:p>
      <w:pPr>
        <w:pStyle w:val="Normal"/>
        <w:rPr/>
      </w:pPr>
      <w:r>
        <w:rPr>
          <w:rStyle w:val="Style15"/>
        </w:rPr>
        <w:t>ДО</w:t>
      </w:r>
      <w:r>
        <w:rPr>
          <w:rStyle w:val="Style15"/>
          <w:vertAlign w:val="subscript"/>
        </w:rPr>
        <w:t> max</w:t>
      </w:r>
      <w:r>
        <w:rPr>
          <w:rStyle w:val="Style15"/>
        </w:rPr>
        <w:t xml:space="preserve"> - максимальное значение из ДО</w:t>
      </w:r>
      <w:r>
        <w:rPr>
          <w:rStyle w:val="Style15"/>
          <w:vertAlign w:val="subscript"/>
        </w:rPr>
        <w:t> i</w:t>
      </w:r>
      <w:r>
        <w:rPr>
          <w:rStyle w:val="Style15"/>
        </w:rPr>
        <w:t>.</w:t>
      </w:r>
    </w:p>
    <w:p>
      <w:pPr>
        <w:pStyle w:val="Normal"/>
        <w:rPr/>
      </w:pPr>
      <w:r>
        <w:rPr/>
      </w:r>
    </w:p>
    <w:p>
      <w:pPr>
        <w:pStyle w:val="Normal"/>
        <w:rPr/>
      </w:pPr>
      <w:bookmarkStart w:id="54" w:name="sub_1008"/>
      <w:bookmarkEnd w:id="54"/>
      <w:r>
        <w:rPr>
          <w:rStyle w:val="Style15"/>
        </w:rPr>
        <w:t xml:space="preserve">8. Утратил силу с 5 августа 2021 г. - </w:t>
      </w:r>
      <w:hyperlink r:id="rId30">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55" w:name="sub_1008_Копия_1"/>
      <w:bookmarkEnd w:id="55"/>
      <w:r>
        <w:rPr>
          <w:color w:val="000000"/>
          <w:sz w:val="16"/>
          <w:shd w:fill="F0F0F0" w:val="clear"/>
        </w:rPr>
        <w:t>Информация об изменениях:</w:t>
      </w:r>
    </w:p>
    <w:p>
      <w:pPr>
        <w:pStyle w:val="Style23"/>
        <w:bidi w:val="0"/>
        <w:rPr/>
      </w:pPr>
      <w:r>
        <w:rPr/>
        <w:t xml:space="preserve"> </w:t>
      </w:r>
      <w:hyperlink r:id="rId31">
        <w:r>
          <w:rPr>
            <w:rStyle w:val="ListLabel6"/>
            <w:rFonts w:ascii="Times New Roman" w:hAnsi="Times New Roman"/>
            <w:b w:val="false"/>
            <w:color w:val="106BBE"/>
            <w:shd w:fill="F0F0F0" w:val="clear"/>
          </w:rPr>
          <w:t>См. предыдущую редакцию</w:t>
        </w:r>
      </w:hyperlink>
    </w:p>
    <w:p>
      <w:pPr>
        <w:pStyle w:val="Normal"/>
        <w:rPr/>
      </w:pPr>
      <w:bookmarkStart w:id="56" w:name="sub_1009"/>
      <w:bookmarkEnd w:id="56"/>
      <w:r>
        <w:rPr>
          <w:rStyle w:val="Style15"/>
        </w:rPr>
        <w:t>9. Показатель, учитывающий динамику реализации проектов ГЧП в i-м субъекте Российской Федерации за отчетный год (ДО</w:t>
      </w:r>
      <w:r>
        <w:rPr>
          <w:rStyle w:val="Style15"/>
          <w:vertAlign w:val="subscript"/>
        </w:rPr>
        <w:t> i</w:t>
      </w:r>
      <w:r>
        <w:rPr>
          <w:rStyle w:val="Style15"/>
        </w:rPr>
        <w:t>), определяется по формуле:</w:t>
      </w:r>
    </w:p>
    <w:p>
      <w:pPr>
        <w:pStyle w:val="Normal"/>
        <w:rPr/>
      </w:pPr>
      <w:r>
        <w:rPr/>
      </w:r>
      <w:bookmarkStart w:id="57" w:name="sub_1009_Копия_2"/>
      <w:bookmarkStart w:id="58" w:name="sub_1009_Копия_1"/>
      <w:bookmarkStart w:id="59" w:name="sub_1009_Копия_2"/>
      <w:bookmarkStart w:id="60" w:name="sub_1009_Копия_1"/>
      <w:bookmarkEnd w:id="59"/>
      <w:bookmarkEnd w:id="60"/>
    </w:p>
    <w:p>
      <w:pPr>
        <w:pStyle w:val="Normal"/>
        <w:ind w:firstLine="698"/>
        <w:jc w:val="center"/>
        <w:rPr/>
      </w:pPr>
      <w:r>
        <w:rPr/>
        <w:drawing>
          <wp:inline distT="0" distB="0" distL="0" distR="0">
            <wp:extent cx="1871345" cy="70231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32"/>
                    <a:stretch>
                      <a:fillRect/>
                    </a:stretch>
                  </pic:blipFill>
                  <pic:spPr bwMode="auto">
                    <a:xfrm>
                      <a:off x="0" y="0"/>
                      <a:ext cx="1871345" cy="702310"/>
                    </a:xfrm>
                    <a:prstGeom prst="rect">
                      <a:avLst/>
                    </a:prstGeom>
                  </pic:spPr>
                </pic:pic>
              </a:graphicData>
            </a:graphic>
          </wp:inline>
        </w:drawing>
      </w:r>
      <w:r>
        <w:rPr>
          <w:rStyle w:val="Style15"/>
        </w:rPr>
        <w:t>,</w:t>
      </w:r>
    </w:p>
    <w:p>
      <w:pPr>
        <w:pStyle w:val="Normal"/>
        <w:rPr/>
      </w:pPr>
      <w:r>
        <w:rPr/>
      </w:r>
    </w:p>
    <w:p>
      <w:pPr>
        <w:pStyle w:val="Normal"/>
        <w:rPr/>
      </w:pPr>
      <w:r>
        <w:rPr>
          <w:rStyle w:val="Style15"/>
        </w:rPr>
        <w:t>где:</w:t>
      </w:r>
    </w:p>
    <w:p>
      <w:pPr>
        <w:pStyle w:val="Normal"/>
        <w:rPr/>
      </w:pPr>
      <w:r>
        <w:rPr>
          <w:rStyle w:val="Style15"/>
          <w:i/>
        </w:rPr>
        <w:t>m</w:t>
      </w:r>
      <w:r>
        <w:rPr>
          <w:rStyle w:val="Style15"/>
          <w:vertAlign w:val="subscript"/>
        </w:rPr>
        <w:t> i</w:t>
      </w:r>
      <w:r>
        <w:rPr>
          <w:rStyle w:val="Style15"/>
        </w:rPr>
        <w:t xml:space="preserve"> - общее количество проектов ГЧП в i-м субъекте Российской Федерации, по которым в отчетном году изменилась стадия реализации;</w:t>
      </w:r>
    </w:p>
    <w:p>
      <w:pPr>
        <w:pStyle w:val="Normal"/>
        <w:rPr/>
      </w:pPr>
      <w:r>
        <w:rPr>
          <w:rStyle w:val="Style15"/>
        </w:rPr>
        <w:t>И</w:t>
      </w:r>
      <w:r>
        <w:rPr>
          <w:rStyle w:val="Style15"/>
          <w:vertAlign w:val="subscript"/>
        </w:rPr>
        <w:t> it</w:t>
      </w:r>
      <w:r>
        <w:rPr>
          <w:rStyle w:val="Style15"/>
        </w:rPr>
        <w:t xml:space="preserve"> - объем инвестиций по t-му проекту ГЧП в i-м субъекте Российской Федерации, тыс. рублей;</w:t>
      </w:r>
    </w:p>
    <w:p>
      <w:pPr>
        <w:pStyle w:val="Normal"/>
        <w:rPr/>
      </w:pPr>
      <w:r>
        <w:rPr>
          <w:rStyle w:val="Style15"/>
          <w:i/>
        </w:rPr>
        <w:t>r</w:t>
      </w:r>
      <w:r>
        <w:rPr>
          <w:rStyle w:val="Style15"/>
          <w:vertAlign w:val="subscript"/>
        </w:rPr>
        <w:t> it</w:t>
      </w:r>
      <w:r>
        <w:rPr>
          <w:rStyle w:val="Style15"/>
        </w:rPr>
        <w:t xml:space="preserve"> - коэффициент значимости формы государственно-частного партнерства t-го проекта ГЧП;</w:t>
      </w:r>
    </w:p>
    <w:p>
      <w:pPr>
        <w:pStyle w:val="Normal"/>
        <w:rPr/>
      </w:pPr>
      <w:r>
        <w:rPr>
          <w:rStyle w:val="Style15"/>
          <w:i/>
        </w:rPr>
        <w:t>s</w:t>
      </w:r>
      <w:r>
        <w:rPr>
          <w:rStyle w:val="Style15"/>
          <w:vertAlign w:val="subscript"/>
        </w:rPr>
        <w:t> it</w:t>
      </w:r>
      <w:r>
        <w:rPr>
          <w:rStyle w:val="Style15"/>
        </w:rPr>
        <w:t xml:space="preserve"> - коэффициент значимости срока реализации t-го проекта ГЧП (действия соглашения);</w:t>
      </w:r>
    </w:p>
    <w:p>
      <w:pPr>
        <w:pStyle w:val="Normal"/>
        <w:rPr/>
      </w:pPr>
      <w:r>
        <w:rPr>
          <w:rStyle w:val="Style15"/>
          <w:i/>
        </w:rPr>
        <w:t>u</w:t>
      </w:r>
      <w:r>
        <w:rPr>
          <w:rStyle w:val="Style15"/>
          <w:vertAlign w:val="subscript"/>
        </w:rPr>
        <w:t> it</w:t>
      </w:r>
      <w:r>
        <w:rPr>
          <w:rStyle w:val="Style15"/>
        </w:rPr>
        <w:t xml:space="preserve"> - коэффициент, учитывающий стадию реализации t-го проекта ГЧП.</w:t>
      </w:r>
    </w:p>
    <w:p>
      <w:pPr>
        <w:pStyle w:val="Normal"/>
        <w:rPr/>
      </w:pPr>
      <w:r>
        <w:rPr/>
      </w:r>
    </w:p>
    <w:p>
      <w:pPr>
        <w:pStyle w:val="Normal"/>
        <w:rPr/>
      </w:pPr>
      <w:bookmarkStart w:id="61" w:name="sub_1010"/>
      <w:bookmarkEnd w:id="61"/>
      <w:r>
        <w:rPr>
          <w:rStyle w:val="Style15"/>
        </w:rPr>
        <w:t>10. Коэффициент значимости формы государственно-частного партнерства t-го проекта ГЧП (</w:t>
      </w:r>
      <w:r>
        <w:rPr>
          <w:rStyle w:val="Style15"/>
          <w:i/>
        </w:rPr>
        <w:t>r</w:t>
      </w:r>
      <w:r>
        <w:rPr>
          <w:rStyle w:val="Style15"/>
          <w:vertAlign w:val="subscript"/>
        </w:rPr>
        <w:t> it</w:t>
      </w:r>
      <w:r>
        <w:rPr>
          <w:rStyle w:val="Style15"/>
        </w:rPr>
        <w:t> ) определяется для основных и иных форм государственно-частного партнерства и принимает следующие значения:</w:t>
      </w:r>
    </w:p>
    <w:p>
      <w:pPr>
        <w:pStyle w:val="Normal"/>
        <w:rPr/>
      </w:pPr>
      <w:bookmarkStart w:id="62" w:name="sub_1010_Копия_1"/>
      <w:bookmarkEnd w:id="62"/>
      <w:r>
        <w:rPr>
          <w:rStyle w:val="Style15"/>
        </w:rPr>
        <w:t xml:space="preserve">для проектов ГЧП, реализуемых в рамках основных форм государственно-частного партнерства, </w:t>
      </w:r>
      <w:r>
        <w:rPr>
          <w:rStyle w:val="Style15"/>
          <w:i/>
        </w:rPr>
        <w:t>r</w:t>
      </w:r>
      <w:r>
        <w:rPr>
          <w:rStyle w:val="Style15"/>
          <w:vertAlign w:val="subscript"/>
        </w:rPr>
        <w:t> it</w:t>
      </w:r>
      <w:r>
        <w:rPr>
          <w:rStyle w:val="Style15"/>
        </w:rPr>
        <w:t>=1;</w:t>
      </w:r>
    </w:p>
    <w:p>
      <w:pPr>
        <w:pStyle w:val="Normal"/>
        <w:rPr/>
      </w:pPr>
      <w:r>
        <w:rPr>
          <w:rStyle w:val="Style15"/>
        </w:rPr>
        <w:t xml:space="preserve">для проектов ГЧП, реализуемых в рамках иных форм государственно-частного партнерства, </w:t>
      </w:r>
      <w:r>
        <w:rPr>
          <w:rStyle w:val="Style15"/>
          <w:i/>
        </w:rPr>
        <w:t>r</w:t>
      </w:r>
      <w:r>
        <w:rPr>
          <w:rStyle w:val="Style15"/>
          <w:vertAlign w:val="subscript"/>
        </w:rPr>
        <w:t> it</w:t>
      </w:r>
      <w:r>
        <w:rPr>
          <w:rStyle w:val="Style15"/>
        </w:rPr>
        <w:t>=0,7.</w:t>
      </w:r>
    </w:p>
    <w:p>
      <w:pPr>
        <w:pStyle w:val="Style19"/>
        <w:bidi w:val="0"/>
        <w:rPr/>
      </w:pPr>
      <w:bookmarkStart w:id="63" w:name="sub_1011"/>
      <w:bookmarkEnd w:id="63"/>
      <w:r>
        <w:rPr>
          <w:color w:val="000000"/>
          <w:sz w:val="16"/>
          <w:shd w:fill="F0F0F0" w:val="clear"/>
        </w:rPr>
        <w:t>Информация об изменениях:</w:t>
      </w:r>
    </w:p>
    <w:p>
      <w:pPr>
        <w:pStyle w:val="Style23"/>
        <w:bidi w:val="0"/>
        <w:rPr/>
      </w:pPr>
      <w:bookmarkStart w:id="64" w:name="sub_1011_Копия_1"/>
      <w:bookmarkEnd w:id="64"/>
      <w:r>
        <w:rPr/>
        <w:t xml:space="preserve"> </w:t>
      </w:r>
      <w:r>
        <w:rPr>
          <w:shd w:fill="F0F0F0" w:val="clear"/>
        </w:rPr>
        <w:t xml:space="preserve">Пункт 11 изменен с 5 августа 2021 г. - </w:t>
      </w:r>
      <w:hyperlink r:id="rId33">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34">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11. Коэффициент значимости срока реализации t-гo проекта ГЧП (действия соглашения; </w:t>
      </w:r>
      <w:r>
        <w:rPr>
          <w:rStyle w:val="Style15"/>
          <w:i/>
        </w:rPr>
        <w:t>s</w:t>
      </w:r>
      <w:r>
        <w:rPr>
          <w:rStyle w:val="Style15"/>
          <w:vertAlign w:val="subscript"/>
        </w:rPr>
        <w:t> it</w:t>
      </w:r>
      <w:r>
        <w:rPr>
          <w:rStyle w:val="Style15"/>
        </w:rPr>
        <w:t>) принимает следующие значения:</w:t>
      </w:r>
    </w:p>
    <w:p>
      <w:pPr>
        <w:pStyle w:val="Normal"/>
        <w:rPr/>
      </w:pPr>
      <w:r>
        <w:rPr>
          <w:rStyle w:val="Style15"/>
        </w:rPr>
        <w:t xml:space="preserve">для проектов ГЧП, срок реализации которых составляет более 14 лет, </w:t>
      </w:r>
      <w:r>
        <w:rPr>
          <w:rStyle w:val="Style15"/>
          <w:i/>
        </w:rPr>
        <w:t>s</w:t>
      </w:r>
      <w:r>
        <w:rPr>
          <w:rStyle w:val="Style15"/>
          <w:vertAlign w:val="subscript"/>
        </w:rPr>
        <w:t> it</w:t>
      </w:r>
      <w:r>
        <w:rPr>
          <w:rStyle w:val="Style15"/>
        </w:rPr>
        <w:t>=1,3;</w:t>
      </w:r>
    </w:p>
    <w:p>
      <w:pPr>
        <w:pStyle w:val="Normal"/>
        <w:rPr/>
      </w:pPr>
      <w:r>
        <w:rPr>
          <w:rStyle w:val="Style15"/>
        </w:rPr>
        <w:t xml:space="preserve">для проектов ГЧП, срок реализации которых составляет от 7 до 14 лет, </w:t>
      </w:r>
      <w:r>
        <w:rPr>
          <w:rStyle w:val="Style15"/>
          <w:i/>
        </w:rPr>
        <w:t>s</w:t>
      </w:r>
      <w:r>
        <w:rPr>
          <w:rStyle w:val="Style15"/>
          <w:vertAlign w:val="subscript"/>
        </w:rPr>
        <w:t> it</w:t>
      </w:r>
      <w:r>
        <w:rPr>
          <w:rStyle w:val="Style15"/>
        </w:rPr>
        <w:t>=1,0;</w:t>
      </w:r>
    </w:p>
    <w:p>
      <w:pPr>
        <w:pStyle w:val="Normal"/>
        <w:rPr/>
      </w:pPr>
      <w:r>
        <w:rPr>
          <w:rStyle w:val="Style15"/>
        </w:rPr>
        <w:t xml:space="preserve">для проектов ГЧП, срок реализации которых составляет от 3 до 7 лет, </w:t>
      </w:r>
      <w:r>
        <w:rPr>
          <w:rStyle w:val="Style15"/>
          <w:i/>
        </w:rPr>
        <w:t>s</w:t>
      </w:r>
      <w:r>
        <w:rPr>
          <w:rStyle w:val="Style15"/>
          <w:vertAlign w:val="subscript"/>
        </w:rPr>
        <w:t> it</w:t>
      </w:r>
      <w:r>
        <w:rPr>
          <w:rStyle w:val="Style15"/>
        </w:rPr>
        <w:t>= 0,7.</w:t>
      </w:r>
    </w:p>
    <w:p>
      <w:pPr>
        <w:pStyle w:val="Style19"/>
        <w:bidi w:val="0"/>
        <w:rPr/>
      </w:pPr>
      <w:bookmarkStart w:id="65" w:name="sub_1012"/>
      <w:bookmarkEnd w:id="65"/>
      <w:r>
        <w:rPr>
          <w:color w:val="000000"/>
          <w:sz w:val="16"/>
          <w:shd w:fill="F0F0F0" w:val="clear"/>
        </w:rPr>
        <w:t>Информация об изменениях:</w:t>
      </w:r>
    </w:p>
    <w:p>
      <w:pPr>
        <w:pStyle w:val="Style23"/>
        <w:bidi w:val="0"/>
        <w:rPr/>
      </w:pPr>
      <w:bookmarkStart w:id="66" w:name="sub_1012_Копия_1"/>
      <w:bookmarkEnd w:id="66"/>
      <w:r>
        <w:rPr/>
        <w:t xml:space="preserve"> </w:t>
      </w:r>
      <w:r>
        <w:rPr>
          <w:shd w:fill="F0F0F0" w:val="clear"/>
        </w:rPr>
        <w:t xml:space="preserve">Пункт 12 изменен с 27 декабря 2023 г. - </w:t>
      </w:r>
      <w:hyperlink r:id="rId35">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27 декабря 2023 г. N 924</w:t>
      </w:r>
    </w:p>
    <w:p>
      <w:pPr>
        <w:pStyle w:val="Style23"/>
        <w:bidi w:val="0"/>
        <w:rPr/>
      </w:pPr>
      <w:r>
        <w:rPr/>
        <w:t xml:space="preserve"> </w:t>
      </w:r>
      <w:hyperlink r:id="rId3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12. Коэффициент, учитывающий стадию реализации t-гo проекта ГЧП (</w:t>
      </w:r>
      <w:r>
        <w:rPr>
          <w:rStyle w:val="Style15"/>
          <w:i/>
        </w:rPr>
        <w:t>u</w:t>
      </w:r>
      <w:r>
        <w:rPr>
          <w:rStyle w:val="Style15"/>
          <w:vertAlign w:val="subscript"/>
        </w:rPr>
        <w:t> it</w:t>
      </w:r>
      <w:r>
        <w:rPr>
          <w:rStyle w:val="Style15"/>
        </w:rPr>
        <w:t> ), принимает следующие значения:</w:t>
      </w:r>
    </w:p>
    <w:p>
      <w:pPr>
        <w:pStyle w:val="Normal"/>
        <w:rPr/>
      </w:pPr>
      <w:r>
        <w:rPr>
          <w:rStyle w:val="Style15"/>
        </w:rPr>
        <w:t xml:space="preserve">для проектов ГЧП, реализуемых в рамках основных форм государственно-частного партнерства, по которым принято решение о заключении соглашения, </w:t>
      </w:r>
      <w:r>
        <w:rPr>
          <w:rStyle w:val="Style15"/>
          <w:i/>
        </w:rPr>
        <w:t>u</w:t>
      </w:r>
      <w:r>
        <w:rPr>
          <w:rStyle w:val="Style15"/>
          <w:vertAlign w:val="subscript"/>
        </w:rPr>
        <w:t> it</w:t>
      </w:r>
      <w:r>
        <w:rPr>
          <w:rStyle w:val="Style15"/>
        </w:rPr>
        <w:t>=0,1;</w:t>
      </w:r>
    </w:p>
    <w:p>
      <w:pPr>
        <w:pStyle w:val="Normal"/>
        <w:rPr/>
      </w:pPr>
      <w:bookmarkStart w:id="67" w:name="sub_10123"/>
      <w:bookmarkEnd w:id="67"/>
      <w:r>
        <w:rPr>
          <w:rStyle w:val="Style15"/>
        </w:rPr>
        <w:t xml:space="preserve">для проектов ГЧП, по которым подписано соглашение, </w:t>
      </w:r>
      <w:r>
        <w:rPr>
          <w:rStyle w:val="Style15"/>
          <w:i/>
        </w:rPr>
        <w:t>u</w:t>
      </w:r>
      <w:r>
        <w:rPr>
          <w:rStyle w:val="Style15"/>
          <w:vertAlign w:val="subscript"/>
        </w:rPr>
        <w:t> it</w:t>
      </w:r>
      <w:r>
        <w:rPr>
          <w:rStyle w:val="Style15"/>
        </w:rPr>
        <w:t>=0,3;</w:t>
      </w:r>
    </w:p>
    <w:p>
      <w:pPr>
        <w:pStyle w:val="Normal"/>
        <w:rPr/>
      </w:pPr>
      <w:bookmarkStart w:id="68" w:name="sub_10124_Копия_1"/>
      <w:bookmarkStart w:id="69" w:name="sub_10124"/>
      <w:bookmarkEnd w:id="68"/>
      <w:bookmarkEnd w:id="69"/>
      <w:r>
        <w:rPr>
          <w:rStyle w:val="Style15"/>
        </w:rPr>
        <w:t xml:space="preserve">для проектов ГЧП, по которым объект соглашения создан, модернизирован либо реконструирован (в соответствии с условиями соглашения), </w:t>
      </w:r>
      <w:r>
        <w:rPr>
          <w:rStyle w:val="Style15"/>
          <w:i/>
        </w:rPr>
        <w:t>u</w:t>
      </w:r>
      <w:r>
        <w:rPr>
          <w:rStyle w:val="Style15"/>
          <w:vertAlign w:val="subscript"/>
        </w:rPr>
        <w:t> it</w:t>
      </w:r>
      <w:r>
        <w:rPr>
          <w:rStyle w:val="Style15"/>
        </w:rPr>
        <w:t>=0,6.</w:t>
      </w:r>
    </w:p>
    <w:p>
      <w:pPr>
        <w:pStyle w:val="Normal"/>
        <w:rPr/>
      </w:pPr>
      <w:bookmarkStart w:id="70" w:name="sub_1013_Копия_1"/>
      <w:bookmarkStart w:id="71" w:name="sub_1013"/>
      <w:bookmarkEnd w:id="70"/>
      <w:bookmarkEnd w:id="71"/>
      <w:r>
        <w:rPr>
          <w:rStyle w:val="Style15"/>
        </w:rPr>
        <w:t xml:space="preserve">13. Утратил силу с 5 августа 2021 г. - </w:t>
      </w:r>
      <w:hyperlink r:id="rId37">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72" w:name="sub_1013_Копия_2"/>
      <w:bookmarkEnd w:id="72"/>
      <w:r>
        <w:rPr>
          <w:color w:val="000000"/>
          <w:sz w:val="16"/>
          <w:shd w:fill="F0F0F0" w:val="clear"/>
        </w:rPr>
        <w:t>Информация об изменениях:</w:t>
      </w:r>
    </w:p>
    <w:p>
      <w:pPr>
        <w:pStyle w:val="Style23"/>
        <w:bidi w:val="0"/>
        <w:rPr/>
      </w:pPr>
      <w:r>
        <w:rPr/>
        <w:t xml:space="preserve"> </w:t>
      </w:r>
      <w:hyperlink r:id="rId38">
        <w:r>
          <w:rPr>
            <w:rStyle w:val="ListLabel6"/>
            <w:rFonts w:ascii="Times New Roman" w:hAnsi="Times New Roman"/>
            <w:b w:val="false"/>
            <w:color w:val="106BBE"/>
            <w:shd w:fill="F0F0F0" w:val="clear"/>
          </w:rPr>
          <w:t>См. предыдущую редакцию</w:t>
        </w:r>
      </w:hyperlink>
    </w:p>
    <w:p>
      <w:pPr>
        <w:pStyle w:val="Style23"/>
        <w:bidi w:val="0"/>
        <w:rPr/>
      </w:pPr>
      <w:bookmarkStart w:id="73" w:name="sub_1014"/>
      <w:bookmarkEnd w:id="73"/>
      <w:r>
        <w:rPr/>
        <w:t xml:space="preserve"> </w:t>
      </w:r>
      <w:r>
        <w:rPr>
          <w:shd w:fill="F0F0F0" w:val="clear"/>
        </w:rPr>
        <w:t xml:space="preserve">Пункт 14 изменен с 5 августа 2021 г. - </w:t>
      </w:r>
      <w:hyperlink r:id="rId39">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bookmarkStart w:id="74" w:name="sub_1014_Копия_1"/>
      <w:bookmarkEnd w:id="74"/>
      <w:r>
        <w:rPr/>
        <w:t xml:space="preserve"> </w:t>
      </w:r>
      <w:hyperlink r:id="rId40">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 xml:space="preserve">14. В случае если в соответствии с условиями соглашения созданы, модернизованы либо реконструированы несколько объектов, значение коэффициента </w:t>
      </w:r>
      <w:r>
        <w:rPr>
          <w:rStyle w:val="Style15"/>
          <w:i/>
        </w:rPr>
        <w:t>u</w:t>
      </w:r>
      <w:r>
        <w:rPr>
          <w:rStyle w:val="Style15"/>
          <w:vertAlign w:val="subscript"/>
        </w:rPr>
        <w:t> it</w:t>
      </w:r>
      <w:r>
        <w:rPr>
          <w:rStyle w:val="Style15"/>
        </w:rPr>
        <w:t xml:space="preserve"> принимается равным 1,0 после ввода в эксплуатацию, модернизации либо реконструкции последнего из таких объектов.</w:t>
      </w:r>
    </w:p>
    <w:p>
      <w:pPr>
        <w:pStyle w:val="Normal"/>
        <w:rPr/>
      </w:pPr>
      <w:bookmarkStart w:id="75" w:name="sub_1015"/>
      <w:bookmarkEnd w:id="75"/>
      <w:r>
        <w:rPr>
          <w:rStyle w:val="Style15"/>
        </w:rPr>
        <w:t>15. Для целей определения показателя, учитывающего динамику реализации проектов ГЧП в i-м субъекте Российской Федерации за отчетный год (ДО</w:t>
      </w:r>
      <w:r>
        <w:rPr>
          <w:rStyle w:val="Style15"/>
          <w:vertAlign w:val="subscript"/>
        </w:rPr>
        <w:t> i</w:t>
      </w:r>
      <w:r>
        <w:rPr>
          <w:rStyle w:val="Style15"/>
        </w:rPr>
        <w:t>), коэффициент, учитывающий стадию реализации t-го проекта ГЧП (</w:t>
      </w:r>
      <w:r>
        <w:rPr>
          <w:rStyle w:val="Style15"/>
          <w:i/>
        </w:rPr>
        <w:t>u</w:t>
      </w:r>
      <w:r>
        <w:rPr>
          <w:rStyle w:val="Style15"/>
          <w:vertAlign w:val="subscript"/>
        </w:rPr>
        <w:t> it</w:t>
      </w:r>
      <w:r>
        <w:rPr>
          <w:rStyle w:val="Style15"/>
        </w:rPr>
        <w:t> ), определяется исходя из изменения стадии реализации t-го проекта ГЧП в отчетном году.</w:t>
      </w:r>
    </w:p>
    <w:p>
      <w:pPr>
        <w:pStyle w:val="Normal"/>
        <w:rPr/>
      </w:pPr>
      <w:bookmarkStart w:id="76" w:name="sub_1015_Копия_1"/>
      <w:bookmarkEnd w:id="76"/>
      <w:r>
        <w:rPr>
          <w:rStyle w:val="Style15"/>
        </w:rPr>
        <w:t xml:space="preserve">В случае если в течение отчетного года проект ГЧП прошел несколько из перечисленных стадий реализации, значение коэффициента </w:t>
      </w:r>
      <w:r>
        <w:rPr>
          <w:rStyle w:val="Style15"/>
          <w:i/>
        </w:rPr>
        <w:t>u</w:t>
      </w:r>
      <w:r>
        <w:rPr>
          <w:rStyle w:val="Style15"/>
          <w:vertAlign w:val="subscript"/>
        </w:rPr>
        <w:t> it</w:t>
      </w:r>
      <w:r>
        <w:rPr>
          <w:rStyle w:val="Style15"/>
        </w:rPr>
        <w:t xml:space="preserve"> принимается равным сумме значений, соответствующих данным стадиям.</w:t>
      </w:r>
    </w:p>
    <w:p>
      <w:pPr>
        <w:pStyle w:val="Normal"/>
        <w:rPr/>
      </w:pPr>
      <w:bookmarkStart w:id="77" w:name="sub_1016"/>
      <w:bookmarkEnd w:id="77"/>
      <w:r>
        <w:rPr>
          <w:rStyle w:val="Style15"/>
        </w:rPr>
        <w:t xml:space="preserve">16. Утратил силу с 5 августа 2021 г. - </w:t>
      </w:r>
      <w:hyperlink r:id="rId41">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78" w:name="sub_1016_Копия_1"/>
      <w:bookmarkEnd w:id="78"/>
      <w:r>
        <w:rPr>
          <w:color w:val="000000"/>
          <w:sz w:val="16"/>
          <w:shd w:fill="F0F0F0" w:val="clear"/>
        </w:rPr>
        <w:t>Информация об изменениях:</w:t>
      </w:r>
    </w:p>
    <w:p>
      <w:pPr>
        <w:pStyle w:val="Style23"/>
        <w:bidi w:val="0"/>
        <w:rPr/>
      </w:pPr>
      <w:r>
        <w:rPr/>
        <w:t xml:space="preserve"> </w:t>
      </w:r>
      <w:hyperlink r:id="rId42">
        <w:r>
          <w:rPr>
            <w:rStyle w:val="ListLabel6"/>
            <w:rFonts w:ascii="Times New Roman" w:hAnsi="Times New Roman"/>
            <w:b w:val="false"/>
            <w:color w:val="106BBE"/>
            <w:shd w:fill="F0F0F0" w:val="clear"/>
          </w:rPr>
          <w:t>См. предыдущую редакцию</w:t>
        </w:r>
      </w:hyperlink>
    </w:p>
    <w:p>
      <w:pPr>
        <w:pStyle w:val="Normal"/>
        <w:rPr/>
      </w:pPr>
      <w:bookmarkStart w:id="79" w:name="sub_1017"/>
      <w:bookmarkEnd w:id="79"/>
      <w:r>
        <w:rPr>
          <w:rStyle w:val="Style15"/>
        </w:rPr>
        <w:t xml:space="preserve">17. Утратил силу с 5 августа 2021 г. - </w:t>
      </w:r>
      <w:hyperlink r:id="rId43">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80" w:name="sub_1017_Копия_1"/>
      <w:bookmarkEnd w:id="80"/>
      <w:r>
        <w:rPr>
          <w:color w:val="000000"/>
          <w:sz w:val="16"/>
          <w:shd w:fill="F0F0F0" w:val="clear"/>
        </w:rPr>
        <w:t>Информация об изменениях:</w:t>
      </w:r>
    </w:p>
    <w:p>
      <w:pPr>
        <w:pStyle w:val="Style23"/>
        <w:bidi w:val="0"/>
        <w:rPr/>
      </w:pPr>
      <w:r>
        <w:rPr/>
        <w:t xml:space="preserve"> </w:t>
      </w:r>
      <w:hyperlink r:id="rId44">
        <w:r>
          <w:rPr>
            <w:rStyle w:val="ListLabel6"/>
            <w:rFonts w:ascii="Times New Roman" w:hAnsi="Times New Roman"/>
            <w:b w:val="false"/>
            <w:color w:val="106BBE"/>
            <w:shd w:fill="F0F0F0" w:val="clear"/>
          </w:rPr>
          <w:t>См. предыдущую редакцию</w:t>
        </w:r>
      </w:hyperlink>
    </w:p>
    <w:p>
      <w:pPr>
        <w:pStyle w:val="Style23"/>
        <w:bidi w:val="0"/>
        <w:rPr/>
      </w:pPr>
      <w:r>
        <w:rPr/>
        <w:t xml:space="preserve"> </w:t>
      </w:r>
    </w:p>
    <w:p>
      <w:pPr>
        <w:pStyle w:val="Heading1"/>
        <w:bidi w:val="0"/>
        <w:rPr/>
      </w:pPr>
      <w:bookmarkStart w:id="81" w:name="sub_1400"/>
      <w:bookmarkEnd w:id="81"/>
      <w:r>
        <w:rPr/>
        <w:t>IV. Балльная оценка фактора накопленного до отчетного года опыта реализации проектов ГЧП в i-м субъекте Российской Федерации</w:t>
      </w:r>
    </w:p>
    <w:p>
      <w:pPr>
        <w:pStyle w:val="Normal"/>
        <w:rPr/>
      </w:pPr>
      <w:r>
        <w:rPr/>
      </w:r>
      <w:bookmarkStart w:id="82" w:name="sub_1400_Копия_2"/>
      <w:bookmarkStart w:id="83" w:name="sub_1400_Копия_1"/>
      <w:bookmarkStart w:id="84" w:name="sub_1400_Копия_2"/>
      <w:bookmarkStart w:id="85" w:name="sub_1400_Копия_1"/>
      <w:bookmarkEnd w:id="84"/>
      <w:bookmarkEnd w:id="85"/>
    </w:p>
    <w:p>
      <w:pPr>
        <w:pStyle w:val="Style19"/>
        <w:bidi w:val="0"/>
        <w:rPr/>
      </w:pPr>
      <w:bookmarkStart w:id="86" w:name="sub_1018"/>
      <w:bookmarkEnd w:id="86"/>
      <w:r>
        <w:rPr>
          <w:color w:val="000000"/>
          <w:sz w:val="16"/>
          <w:shd w:fill="F0F0F0" w:val="clear"/>
        </w:rPr>
        <w:t>Информация об изменениях:</w:t>
      </w:r>
    </w:p>
    <w:p>
      <w:pPr>
        <w:pStyle w:val="Style23"/>
        <w:bidi w:val="0"/>
        <w:rPr/>
      </w:pPr>
      <w:bookmarkStart w:id="87" w:name="sub_1018_Копия_1"/>
      <w:bookmarkEnd w:id="87"/>
      <w:r>
        <w:rPr/>
        <w:t xml:space="preserve"> </w:t>
      </w:r>
      <w:r>
        <w:rPr>
          <w:shd w:fill="F0F0F0" w:val="clear"/>
        </w:rPr>
        <w:t xml:space="preserve">Пункт 18 изменен с 5 августа 2021 г. - </w:t>
      </w:r>
      <w:hyperlink r:id="rId45">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46">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18. Балльная оценка фактора накопленного до отчетного года опыта реализации проектов ГЧП в i-м субъекте Российской Федерации (БО</w:t>
      </w:r>
      <w:r>
        <w:rPr>
          <w:rStyle w:val="Style15"/>
          <w:vertAlign w:val="subscript"/>
        </w:rPr>
        <w:t> i</w:t>
      </w:r>
      <w:r>
        <w:rPr>
          <w:rStyle w:val="Style15"/>
        </w:rPr>
        <w:t>) определяется по формуле:</w:t>
      </w:r>
    </w:p>
    <w:p>
      <w:pPr>
        <w:pStyle w:val="Normal"/>
        <w:rPr/>
      </w:pPr>
      <w:r>
        <w:rPr/>
      </w:r>
    </w:p>
    <w:p>
      <w:pPr>
        <w:pStyle w:val="Normal"/>
        <w:ind w:firstLine="698"/>
        <w:jc w:val="center"/>
        <w:rPr/>
      </w:pPr>
      <w:r>
        <w:rPr/>
        <w:drawing>
          <wp:inline distT="0" distB="0" distL="0" distR="0">
            <wp:extent cx="1503045" cy="568325"/>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47"/>
                    <a:stretch>
                      <a:fillRect/>
                    </a:stretch>
                  </pic:blipFill>
                  <pic:spPr bwMode="auto">
                    <a:xfrm>
                      <a:off x="0" y="0"/>
                      <a:ext cx="1503045" cy="568325"/>
                    </a:xfrm>
                    <a:prstGeom prst="rect">
                      <a:avLst/>
                    </a:prstGeom>
                  </pic:spPr>
                </pic:pic>
              </a:graphicData>
            </a:graphic>
          </wp:inline>
        </w:drawing>
      </w:r>
      <w:r>
        <w:rPr>
          <w:rStyle w:val="Style15"/>
        </w:rPr>
        <w:t>,</w:t>
      </w:r>
    </w:p>
    <w:p>
      <w:pPr>
        <w:pStyle w:val="Normal"/>
        <w:rPr/>
      </w:pPr>
      <w:r>
        <w:rPr/>
      </w:r>
    </w:p>
    <w:p>
      <w:pPr>
        <w:pStyle w:val="Normal"/>
        <w:rPr/>
      </w:pPr>
      <w:r>
        <w:rPr>
          <w:rStyle w:val="Style15"/>
        </w:rPr>
        <w:t>где:</w:t>
      </w:r>
    </w:p>
    <w:p>
      <w:pPr>
        <w:pStyle w:val="Normal"/>
        <w:rPr/>
      </w:pPr>
      <w:r>
        <w:rPr>
          <w:rStyle w:val="Style15"/>
        </w:rPr>
        <w:t>НО</w:t>
      </w:r>
      <w:r>
        <w:rPr>
          <w:rStyle w:val="Style15"/>
          <w:vertAlign w:val="subscript"/>
        </w:rPr>
        <w:t> i</w:t>
      </w:r>
      <w:r>
        <w:rPr>
          <w:rStyle w:val="Style15"/>
        </w:rPr>
        <w:t xml:space="preserve"> - значение показателя, учитывающего накопленный до отчетного года опыт реализации проектов ГЧП в i-м субъекте Российской Федерации;</w:t>
      </w:r>
    </w:p>
    <w:p>
      <w:pPr>
        <w:pStyle w:val="Normal"/>
        <w:rPr/>
      </w:pPr>
      <w:r>
        <w:rPr>
          <w:rStyle w:val="Style15"/>
        </w:rPr>
        <w:t>НО</w:t>
      </w:r>
      <w:r>
        <w:rPr>
          <w:rStyle w:val="Style15"/>
          <w:vertAlign w:val="subscript"/>
        </w:rPr>
        <w:t> max</w:t>
      </w:r>
      <w:r>
        <w:rPr>
          <w:rStyle w:val="Style15"/>
        </w:rPr>
        <w:t xml:space="preserve"> - максимальное значение из НO</w:t>
      </w:r>
      <w:r>
        <w:rPr>
          <w:rStyle w:val="Style15"/>
          <w:vertAlign w:val="subscript"/>
        </w:rPr>
        <w:t> i</w:t>
      </w:r>
      <w:r>
        <w:rPr>
          <w:rStyle w:val="Style15"/>
        </w:rPr>
        <w:t>.</w:t>
      </w:r>
    </w:p>
    <w:p>
      <w:pPr>
        <w:pStyle w:val="Normal"/>
        <w:rPr/>
      </w:pPr>
      <w:r>
        <w:rPr/>
      </w:r>
    </w:p>
    <w:p>
      <w:pPr>
        <w:pStyle w:val="Normal"/>
        <w:rPr/>
      </w:pPr>
      <w:bookmarkStart w:id="88" w:name="sub_1019"/>
      <w:bookmarkEnd w:id="88"/>
      <w:r>
        <w:rPr>
          <w:rStyle w:val="Style15"/>
        </w:rPr>
        <w:t xml:space="preserve">19. Утратил силу с 5 августа 2021 г. - </w:t>
      </w:r>
      <w:hyperlink r:id="rId48">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89" w:name="sub_1019_Копия_1"/>
      <w:bookmarkEnd w:id="89"/>
      <w:r>
        <w:rPr>
          <w:color w:val="000000"/>
          <w:sz w:val="16"/>
          <w:shd w:fill="F0F0F0" w:val="clear"/>
        </w:rPr>
        <w:t>Информация об изменениях:</w:t>
      </w:r>
    </w:p>
    <w:p>
      <w:pPr>
        <w:pStyle w:val="Style23"/>
        <w:bidi w:val="0"/>
        <w:rPr/>
      </w:pPr>
      <w:r>
        <w:rPr/>
        <w:t xml:space="preserve"> </w:t>
      </w:r>
      <w:hyperlink r:id="rId49">
        <w:r>
          <w:rPr>
            <w:rStyle w:val="ListLabel6"/>
            <w:rFonts w:ascii="Times New Roman" w:hAnsi="Times New Roman"/>
            <w:b w:val="false"/>
            <w:color w:val="106BBE"/>
            <w:shd w:fill="F0F0F0" w:val="clear"/>
          </w:rPr>
          <w:t>См. предыдущую редакцию</w:t>
        </w:r>
      </w:hyperlink>
    </w:p>
    <w:p>
      <w:pPr>
        <w:pStyle w:val="Style23"/>
        <w:bidi w:val="0"/>
        <w:rPr/>
      </w:pPr>
      <w:bookmarkStart w:id="90" w:name="sub_1020"/>
      <w:bookmarkEnd w:id="90"/>
      <w:r>
        <w:rPr/>
        <w:t xml:space="preserve"> </w:t>
      </w:r>
      <w:r>
        <w:rPr>
          <w:shd w:fill="F0F0F0" w:val="clear"/>
        </w:rPr>
        <w:t xml:space="preserve">Пункт 20 изменен с 5 августа 2021 г. - </w:t>
      </w:r>
      <w:hyperlink r:id="rId50">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bookmarkStart w:id="91" w:name="sub_1020_Копия_1"/>
      <w:bookmarkEnd w:id="91"/>
      <w:r>
        <w:rPr/>
        <w:t xml:space="preserve"> </w:t>
      </w:r>
      <w:hyperlink r:id="rId51">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20. Показатель, учитывающий накопленный до отчетного года опыт реализации проектов ГЧП в i-м субъекте Российской Федерации (СП</w:t>
      </w:r>
      <w:r>
        <w:rPr>
          <w:rStyle w:val="Style15"/>
          <w:vertAlign w:val="subscript"/>
        </w:rPr>
        <w:t> i</w:t>
      </w:r>
      <w:r>
        <w:rPr>
          <w:rStyle w:val="Style15"/>
        </w:rPr>
        <w:t>), определяется по формуле:</w:t>
      </w:r>
    </w:p>
    <w:p>
      <w:pPr>
        <w:pStyle w:val="Normal"/>
        <w:rPr/>
      </w:pPr>
      <w:r>
        <w:rPr/>
      </w:r>
    </w:p>
    <w:p>
      <w:pPr>
        <w:pStyle w:val="Normal"/>
        <w:ind w:firstLine="698"/>
        <w:jc w:val="center"/>
        <w:rPr/>
      </w:pPr>
      <w:r>
        <w:rPr/>
        <w:drawing>
          <wp:inline distT="0" distB="0" distL="0" distR="0">
            <wp:extent cx="1871345" cy="702310"/>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52"/>
                    <a:stretch>
                      <a:fillRect/>
                    </a:stretch>
                  </pic:blipFill>
                  <pic:spPr bwMode="auto">
                    <a:xfrm>
                      <a:off x="0" y="0"/>
                      <a:ext cx="1871345" cy="702310"/>
                    </a:xfrm>
                    <a:prstGeom prst="rect">
                      <a:avLst/>
                    </a:prstGeom>
                  </pic:spPr>
                </pic:pic>
              </a:graphicData>
            </a:graphic>
          </wp:inline>
        </w:drawing>
      </w:r>
      <w:r>
        <w:rPr>
          <w:rStyle w:val="Style15"/>
        </w:rPr>
        <w:t>,</w:t>
      </w:r>
    </w:p>
    <w:p>
      <w:pPr>
        <w:pStyle w:val="Normal"/>
        <w:rPr/>
      </w:pPr>
      <w:r>
        <w:rPr/>
      </w:r>
    </w:p>
    <w:p>
      <w:pPr>
        <w:pStyle w:val="Normal"/>
        <w:rPr/>
      </w:pPr>
      <w:r>
        <w:rPr>
          <w:rStyle w:val="Style15"/>
        </w:rPr>
        <w:t>где:</w:t>
      </w:r>
    </w:p>
    <w:p>
      <w:pPr>
        <w:pStyle w:val="Normal"/>
        <w:rPr/>
      </w:pPr>
      <w:r>
        <w:rPr>
          <w:rStyle w:val="Style15"/>
          <w:i/>
        </w:rPr>
        <w:t>w</w:t>
      </w:r>
      <w:r>
        <w:rPr>
          <w:rStyle w:val="Style15"/>
          <w:vertAlign w:val="subscript"/>
        </w:rPr>
        <w:t> i</w:t>
      </w:r>
      <w:r>
        <w:rPr>
          <w:rStyle w:val="Style15"/>
        </w:rPr>
        <w:t xml:space="preserve"> - общее количество проектов ГЧП, реализуемых в i-м субъекте Российской Федерации по состоянию на конец года, предшествующего отчетному;</w:t>
      </w:r>
    </w:p>
    <w:p>
      <w:pPr>
        <w:pStyle w:val="Normal"/>
        <w:rPr/>
      </w:pPr>
      <w:r>
        <w:rPr>
          <w:rStyle w:val="Style15"/>
        </w:rPr>
        <w:t>И</w:t>
      </w:r>
      <w:r>
        <w:rPr>
          <w:rStyle w:val="Style15"/>
          <w:vertAlign w:val="subscript"/>
        </w:rPr>
        <w:t> it</w:t>
      </w:r>
      <w:r>
        <w:rPr>
          <w:rStyle w:val="Style15"/>
        </w:rPr>
        <w:t xml:space="preserve"> - объем инвестиций по t-му проекту ГЧП в i-м субъекте Российской Федерации, тыс. рублей;</w:t>
      </w:r>
    </w:p>
    <w:p>
      <w:pPr>
        <w:pStyle w:val="Normal"/>
        <w:rPr/>
      </w:pPr>
      <w:r>
        <w:rPr>
          <w:rStyle w:val="Style15"/>
          <w:i/>
        </w:rPr>
        <w:t>r</w:t>
      </w:r>
      <w:r>
        <w:rPr>
          <w:rStyle w:val="Style15"/>
          <w:vertAlign w:val="subscript"/>
        </w:rPr>
        <w:t> it</w:t>
      </w:r>
      <w:r>
        <w:rPr>
          <w:rStyle w:val="Style15"/>
        </w:rPr>
        <w:t xml:space="preserve"> - коэффициент значимости формы государственно-частного партнерства t-го проекта ГЧП;</w:t>
      </w:r>
    </w:p>
    <w:p>
      <w:pPr>
        <w:pStyle w:val="Normal"/>
        <w:rPr/>
      </w:pPr>
      <w:r>
        <w:rPr>
          <w:rStyle w:val="Style15"/>
          <w:i/>
        </w:rPr>
        <w:t>s</w:t>
      </w:r>
      <w:r>
        <w:rPr>
          <w:rStyle w:val="Style15"/>
          <w:vertAlign w:val="subscript"/>
        </w:rPr>
        <w:t> it</w:t>
      </w:r>
      <w:r>
        <w:rPr>
          <w:rStyle w:val="Style15"/>
        </w:rPr>
        <w:t xml:space="preserve"> - коэффициент значимости срока реализации t-го проекта ГЧП (действия соглашения);</w:t>
      </w:r>
    </w:p>
    <w:p>
      <w:pPr>
        <w:pStyle w:val="Normal"/>
        <w:rPr/>
      </w:pPr>
      <w:bookmarkStart w:id="92" w:name="sub_10208"/>
      <w:bookmarkEnd w:id="92"/>
      <w:r>
        <w:rPr>
          <w:rStyle w:val="Style15"/>
          <w:i/>
        </w:rPr>
        <w:t>u</w:t>
      </w:r>
      <w:r>
        <w:rPr>
          <w:rStyle w:val="Style15"/>
          <w:vertAlign w:val="subscript"/>
        </w:rPr>
        <w:t> it</w:t>
      </w:r>
      <w:r>
        <w:rPr>
          <w:rStyle w:val="Style15"/>
        </w:rPr>
        <w:t xml:space="preserve"> - коэффициент, учитывающий стадию реализации t-го проекта ГЧП.</w:t>
      </w:r>
    </w:p>
    <w:p>
      <w:pPr>
        <w:pStyle w:val="Normal"/>
        <w:rPr/>
      </w:pPr>
      <w:r>
        <w:rPr/>
      </w:r>
      <w:bookmarkStart w:id="93" w:name="sub_10208_Копия_2"/>
      <w:bookmarkStart w:id="94" w:name="sub_10208_Копия_1"/>
      <w:bookmarkStart w:id="95" w:name="sub_10208_Копия_2"/>
      <w:bookmarkStart w:id="96" w:name="sub_10208_Копия_1"/>
      <w:bookmarkEnd w:id="95"/>
      <w:bookmarkEnd w:id="96"/>
    </w:p>
    <w:p>
      <w:pPr>
        <w:pStyle w:val="Normal"/>
        <w:rPr/>
      </w:pPr>
      <w:bookmarkStart w:id="97" w:name="sub_1021"/>
      <w:bookmarkEnd w:id="97"/>
      <w:r>
        <w:rPr>
          <w:rStyle w:val="Style15"/>
        </w:rPr>
        <w:t>21. Для целей определения показателя, учитывающего накопленный до отчетного года опыт реализации проектов ГЧП в i-м субъекте Российской Федерации (СП</w:t>
      </w:r>
      <w:r>
        <w:rPr>
          <w:rStyle w:val="Style15"/>
          <w:vertAlign w:val="subscript"/>
        </w:rPr>
        <w:t> i</w:t>
      </w:r>
      <w:r>
        <w:rPr>
          <w:rStyle w:val="Style15"/>
        </w:rPr>
        <w:t>), коэффициент, учитывающий стадию реализации t-го проекта ГЧП (</w:t>
      </w:r>
      <w:r>
        <w:rPr>
          <w:rStyle w:val="Style15"/>
          <w:i/>
        </w:rPr>
        <w:t>u</w:t>
      </w:r>
      <w:r>
        <w:rPr>
          <w:rStyle w:val="Style15"/>
          <w:vertAlign w:val="subscript"/>
        </w:rPr>
        <w:t> it</w:t>
      </w:r>
      <w:r>
        <w:rPr>
          <w:rStyle w:val="Style15"/>
        </w:rPr>
        <w:t> ), определяется исходя из стадии реализации t-го проекта ГЧП по состоянию на конец года, предшествующего отчетному.</w:t>
      </w:r>
    </w:p>
    <w:p>
      <w:pPr>
        <w:pStyle w:val="Normal"/>
        <w:rPr/>
      </w:pPr>
      <w:bookmarkStart w:id="98" w:name="sub_1021_Копия_1"/>
      <w:bookmarkEnd w:id="98"/>
      <w:r>
        <w:rPr>
          <w:rStyle w:val="Style15"/>
        </w:rPr>
        <w:t>В случае если по состоянию на 31 декабря года, предшествующего отчетному, соглашение не подписано и период времени с даты принятия решения о заключении соглашения до 31 декабря года, предшествующего отчетному, составил более 730 календарных дней, коэффициент, учитывающий стадию реализации t-го проекта ГЧП (</w:t>
      </w:r>
      <w:r>
        <w:rPr>
          <w:rStyle w:val="Style15"/>
          <w:i/>
        </w:rPr>
        <w:t>u</w:t>
      </w:r>
      <w:r>
        <w:rPr>
          <w:rStyle w:val="Style15"/>
          <w:vertAlign w:val="subscript"/>
        </w:rPr>
        <w:t> it</w:t>
      </w:r>
      <w:r>
        <w:rPr>
          <w:rStyle w:val="Style15"/>
        </w:rPr>
        <w:t xml:space="preserve"> ), принимает значение </w:t>
      </w:r>
      <w:r>
        <w:rPr>
          <w:rStyle w:val="Style15"/>
          <w:i/>
        </w:rPr>
        <w:t>u</w:t>
      </w:r>
      <w:r>
        <w:rPr>
          <w:rStyle w:val="Style15"/>
          <w:vertAlign w:val="subscript"/>
        </w:rPr>
        <w:t> it</w:t>
      </w:r>
      <w:r>
        <w:rPr>
          <w:rStyle w:val="Style15"/>
        </w:rPr>
        <w:t>=0.</w:t>
      </w:r>
    </w:p>
    <w:p>
      <w:pPr>
        <w:pStyle w:val="Normal"/>
        <w:rPr/>
      </w:pPr>
      <w:r>
        <w:rPr>
          <w:rStyle w:val="Style15"/>
        </w:rPr>
        <w:t>В случае если по состоянию на конец года, предшествующего отчетному, проект ГЧП завершен по истечении срока действия соглашения, коэффициент, учитывающий стадию реализации t-го проекта ГЧП (</w:t>
      </w:r>
      <w:r>
        <w:rPr>
          <w:rStyle w:val="Style15"/>
          <w:i/>
        </w:rPr>
        <w:t>u</w:t>
      </w:r>
      <w:r>
        <w:rPr>
          <w:rStyle w:val="Style15"/>
          <w:vertAlign w:val="subscript"/>
        </w:rPr>
        <w:t> it</w:t>
      </w:r>
      <w:r>
        <w:rPr>
          <w:rStyle w:val="Style15"/>
        </w:rPr>
        <w:t xml:space="preserve"> ), принимает значение </w:t>
      </w:r>
      <w:r>
        <w:rPr>
          <w:rStyle w:val="Style15"/>
          <w:i/>
        </w:rPr>
        <w:t>u</w:t>
      </w:r>
      <w:r>
        <w:rPr>
          <w:rStyle w:val="Style15"/>
          <w:vertAlign w:val="subscript"/>
        </w:rPr>
        <w:t> it</w:t>
      </w:r>
      <w:r>
        <w:rPr>
          <w:rStyle w:val="Style15"/>
        </w:rPr>
        <w:t>=0,5.</w:t>
      </w:r>
    </w:p>
    <w:p>
      <w:pPr>
        <w:pStyle w:val="Normal"/>
        <w:rPr/>
      </w:pPr>
      <w:r>
        <w:rPr>
          <w:rStyle w:val="Style15"/>
        </w:rPr>
        <w:t>В случае если по состоянию на конец года, предшествующего отчетному, проект ГЧП завершен по основаниям, отличным от истечения срока действия соглашения, коэффициент, учитывающий стадию реализации t-го проекта ГЧП (</w:t>
      </w:r>
      <w:r>
        <w:rPr>
          <w:rStyle w:val="Style15"/>
          <w:i/>
        </w:rPr>
        <w:t>u</w:t>
      </w:r>
      <w:r>
        <w:rPr>
          <w:rStyle w:val="Style15"/>
          <w:vertAlign w:val="subscript"/>
        </w:rPr>
        <w:t> it</w:t>
      </w:r>
      <w:r>
        <w:rPr>
          <w:rStyle w:val="Style15"/>
        </w:rPr>
        <w:t xml:space="preserve"> ), принимает значение </w:t>
      </w:r>
      <w:r>
        <w:rPr>
          <w:rStyle w:val="Style15"/>
          <w:i/>
        </w:rPr>
        <w:t>u</w:t>
      </w:r>
      <w:r>
        <w:rPr>
          <w:rStyle w:val="Style15"/>
          <w:vertAlign w:val="subscript"/>
        </w:rPr>
        <w:t> it</w:t>
      </w:r>
      <w:r>
        <w:rPr>
          <w:rStyle w:val="Style15"/>
        </w:rPr>
        <w:t>=0.</w:t>
      </w:r>
    </w:p>
    <w:p>
      <w:pPr>
        <w:pStyle w:val="Normal"/>
        <w:rPr/>
      </w:pPr>
      <w:r>
        <w:rPr/>
      </w:r>
    </w:p>
    <w:p>
      <w:pPr>
        <w:pStyle w:val="Normal"/>
        <w:rPr/>
      </w:pPr>
      <w:bookmarkStart w:id="99" w:name="sub_1022"/>
      <w:bookmarkEnd w:id="99"/>
      <w:r>
        <w:rPr>
          <w:rStyle w:val="Style15"/>
        </w:rPr>
        <w:t xml:space="preserve">22. Утратил силу с 5 августа 2021 г. - </w:t>
      </w:r>
      <w:hyperlink r:id="rId53">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00" w:name="sub_1022_Копия_1"/>
      <w:bookmarkEnd w:id="100"/>
      <w:r>
        <w:rPr>
          <w:color w:val="000000"/>
          <w:sz w:val="16"/>
          <w:shd w:fill="F0F0F0" w:val="clear"/>
        </w:rPr>
        <w:t>Информация об изменениях:</w:t>
      </w:r>
    </w:p>
    <w:p>
      <w:pPr>
        <w:pStyle w:val="Style23"/>
        <w:bidi w:val="0"/>
        <w:rPr/>
      </w:pPr>
      <w:r>
        <w:rPr/>
        <w:t xml:space="preserve"> </w:t>
      </w:r>
      <w:hyperlink r:id="rId54">
        <w:r>
          <w:rPr>
            <w:rStyle w:val="ListLabel6"/>
            <w:rFonts w:ascii="Times New Roman" w:hAnsi="Times New Roman"/>
            <w:b w:val="false"/>
            <w:color w:val="106BBE"/>
            <w:shd w:fill="F0F0F0" w:val="clear"/>
          </w:rPr>
          <w:t>См. предыдущую редакцию</w:t>
        </w:r>
      </w:hyperlink>
    </w:p>
    <w:p>
      <w:pPr>
        <w:pStyle w:val="Normal"/>
        <w:rPr/>
      </w:pPr>
      <w:bookmarkStart w:id="101" w:name="sub_1023"/>
      <w:bookmarkEnd w:id="101"/>
      <w:r>
        <w:rPr>
          <w:rStyle w:val="Style15"/>
        </w:rPr>
        <w:t xml:space="preserve">23. Утратил силу с 5 августа 2021 г. - </w:t>
      </w:r>
      <w:hyperlink r:id="rId55">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02" w:name="sub_1023_Копия_1"/>
      <w:bookmarkEnd w:id="102"/>
      <w:r>
        <w:rPr>
          <w:color w:val="000000"/>
          <w:sz w:val="16"/>
          <w:shd w:fill="F0F0F0" w:val="clear"/>
        </w:rPr>
        <w:t>Информация об изменениях:</w:t>
      </w:r>
    </w:p>
    <w:p>
      <w:pPr>
        <w:pStyle w:val="Style23"/>
        <w:bidi w:val="0"/>
        <w:rPr/>
      </w:pPr>
      <w:r>
        <w:rPr/>
        <w:t xml:space="preserve"> </w:t>
      </w:r>
      <w:hyperlink r:id="rId56">
        <w:r>
          <w:rPr>
            <w:rStyle w:val="ListLabel6"/>
            <w:rFonts w:ascii="Times New Roman" w:hAnsi="Times New Roman"/>
            <w:b w:val="false"/>
            <w:color w:val="106BBE"/>
            <w:shd w:fill="F0F0F0" w:val="clear"/>
          </w:rPr>
          <w:t>См. предыдущую редакцию</w:t>
        </w:r>
      </w:hyperlink>
    </w:p>
    <w:p>
      <w:pPr>
        <w:pStyle w:val="Style23"/>
        <w:bidi w:val="0"/>
        <w:rPr/>
      </w:pPr>
      <w:r>
        <w:rPr/>
        <w:t xml:space="preserve"> </w:t>
      </w:r>
    </w:p>
    <w:p>
      <w:pPr>
        <w:pStyle w:val="Heading1"/>
        <w:bidi w:val="0"/>
        <w:rPr/>
      </w:pPr>
      <w:bookmarkStart w:id="103" w:name="sub_1500"/>
      <w:bookmarkEnd w:id="103"/>
      <w:r>
        <w:rPr/>
        <w:t>V. Балльная оценка фактора состояния нормативно-институциональной среды в субъекте Российской Федерации</w:t>
      </w:r>
    </w:p>
    <w:p>
      <w:pPr>
        <w:pStyle w:val="Normal"/>
        <w:rPr/>
      </w:pPr>
      <w:r>
        <w:rPr/>
      </w:r>
      <w:bookmarkStart w:id="104" w:name="sub_1500_Копия_2"/>
      <w:bookmarkStart w:id="105" w:name="sub_1500_Копия_1"/>
      <w:bookmarkStart w:id="106" w:name="sub_1500_Копия_2"/>
      <w:bookmarkStart w:id="107" w:name="sub_1500_Копия_1"/>
      <w:bookmarkEnd w:id="106"/>
      <w:bookmarkEnd w:id="107"/>
    </w:p>
    <w:p>
      <w:pPr>
        <w:pStyle w:val="Normal"/>
        <w:rPr/>
      </w:pPr>
      <w:bookmarkStart w:id="108" w:name="sub_1024"/>
      <w:bookmarkEnd w:id="108"/>
      <w:r>
        <w:rPr>
          <w:rStyle w:val="Style15"/>
        </w:rPr>
        <w:t>24. Балльная оценка фактора состояния нормативно-институциональной среды в i-м субъекте Российской Федерации (БС</w:t>
      </w:r>
      <w:r>
        <w:rPr>
          <w:rStyle w:val="Style15"/>
          <w:vertAlign w:val="subscript"/>
        </w:rPr>
        <w:t> i</w:t>
      </w:r>
      <w:r>
        <w:rPr>
          <w:rStyle w:val="Style15"/>
        </w:rPr>
        <w:t>) определяется по формуле:</w:t>
      </w:r>
    </w:p>
    <w:p>
      <w:pPr>
        <w:pStyle w:val="Normal"/>
        <w:rPr/>
      </w:pPr>
      <w:r>
        <w:rPr/>
      </w:r>
      <w:bookmarkStart w:id="109" w:name="sub_1024_Копия_2"/>
      <w:bookmarkStart w:id="110" w:name="sub_1024_Копия_1"/>
      <w:bookmarkStart w:id="111" w:name="sub_1024_Копия_2"/>
      <w:bookmarkStart w:id="112" w:name="sub_1024_Копия_1"/>
      <w:bookmarkEnd w:id="111"/>
      <w:bookmarkEnd w:id="112"/>
    </w:p>
    <w:p>
      <w:pPr>
        <w:pStyle w:val="Normal"/>
        <w:ind w:firstLine="698"/>
        <w:jc w:val="center"/>
        <w:rPr/>
      </w:pPr>
      <w:r>
        <w:rPr/>
        <w:drawing>
          <wp:inline distT="0" distB="0" distL="0" distR="0">
            <wp:extent cx="1604010" cy="568325"/>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57"/>
                    <a:stretch>
                      <a:fillRect/>
                    </a:stretch>
                  </pic:blipFill>
                  <pic:spPr bwMode="auto">
                    <a:xfrm>
                      <a:off x="0" y="0"/>
                      <a:ext cx="1604010" cy="568325"/>
                    </a:xfrm>
                    <a:prstGeom prst="rect">
                      <a:avLst/>
                    </a:prstGeom>
                  </pic:spPr>
                </pic:pic>
              </a:graphicData>
            </a:graphic>
          </wp:inline>
        </w:drawing>
      </w:r>
      <w:r>
        <w:rPr>
          <w:rStyle w:val="Style15"/>
        </w:rPr>
        <w:t>,</w:t>
      </w:r>
    </w:p>
    <w:p>
      <w:pPr>
        <w:pStyle w:val="Normal"/>
        <w:rPr/>
      </w:pPr>
      <w:r>
        <w:rPr/>
      </w:r>
    </w:p>
    <w:p>
      <w:pPr>
        <w:pStyle w:val="Normal"/>
        <w:rPr/>
      </w:pPr>
      <w:r>
        <w:rPr>
          <w:rStyle w:val="Style15"/>
        </w:rPr>
        <w:t>где:</w:t>
      </w:r>
    </w:p>
    <w:p>
      <w:pPr>
        <w:pStyle w:val="Normal"/>
        <w:rPr/>
      </w:pPr>
      <w:r>
        <w:rPr>
          <w:rStyle w:val="Style15"/>
        </w:rPr>
        <w:t>НИС</w:t>
      </w:r>
      <w:r>
        <w:rPr>
          <w:rStyle w:val="Style15"/>
          <w:vertAlign w:val="subscript"/>
        </w:rPr>
        <w:t> i</w:t>
      </w:r>
      <w:r>
        <w:rPr>
          <w:rStyle w:val="Style15"/>
        </w:rPr>
        <w:t xml:space="preserve"> - значение показателя состояния нормативно-институциональной среды в i-м субъекте Российской Федерации;</w:t>
      </w:r>
    </w:p>
    <w:p>
      <w:pPr>
        <w:pStyle w:val="Normal"/>
        <w:rPr/>
      </w:pPr>
      <w:r>
        <w:rPr>
          <w:rStyle w:val="Style15"/>
        </w:rPr>
        <w:t>НИС</w:t>
      </w:r>
      <w:r>
        <w:rPr>
          <w:rStyle w:val="Style15"/>
          <w:vertAlign w:val="subscript"/>
        </w:rPr>
        <w:t> max</w:t>
      </w:r>
      <w:r>
        <w:rPr>
          <w:rStyle w:val="Style15"/>
        </w:rPr>
        <w:t xml:space="preserve"> - максимальное значение из НИС</w:t>
      </w:r>
      <w:r>
        <w:rPr>
          <w:rStyle w:val="Style15"/>
          <w:vertAlign w:val="subscript"/>
        </w:rPr>
        <w:t> i</w:t>
      </w:r>
      <w:r>
        <w:rPr>
          <w:rStyle w:val="Style15"/>
        </w:rPr>
        <w:t>.</w:t>
      </w:r>
    </w:p>
    <w:p>
      <w:pPr>
        <w:pStyle w:val="Normal"/>
        <w:rPr/>
      </w:pPr>
      <w:r>
        <w:rPr/>
      </w:r>
    </w:p>
    <w:p>
      <w:pPr>
        <w:pStyle w:val="Style19"/>
        <w:bidi w:val="0"/>
        <w:rPr/>
      </w:pPr>
      <w:bookmarkStart w:id="113" w:name="sub_1025"/>
      <w:bookmarkEnd w:id="113"/>
      <w:r>
        <w:rPr>
          <w:color w:val="000000"/>
          <w:sz w:val="16"/>
          <w:shd w:fill="F0F0F0" w:val="clear"/>
        </w:rPr>
        <w:t>Информация об изменениях:</w:t>
      </w:r>
    </w:p>
    <w:p>
      <w:pPr>
        <w:pStyle w:val="Style23"/>
        <w:bidi w:val="0"/>
        <w:rPr/>
      </w:pPr>
      <w:bookmarkStart w:id="114" w:name="sub_1025_Копия_1"/>
      <w:bookmarkEnd w:id="114"/>
      <w:r>
        <w:rPr/>
        <w:t xml:space="preserve"> </w:t>
      </w:r>
      <w:r>
        <w:rPr>
          <w:shd w:fill="F0F0F0" w:val="clear"/>
        </w:rPr>
        <w:t xml:space="preserve">Пункт 25 изменен с 5 августа 2021 г. - </w:t>
      </w:r>
      <w:hyperlink r:id="rId58">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59">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25. Показатель состояния нормативно-институциональной среды в i-м субъекте Российской Федерации (НИС</w:t>
      </w:r>
      <w:r>
        <w:rPr>
          <w:rStyle w:val="Style15"/>
          <w:vertAlign w:val="subscript"/>
        </w:rPr>
        <w:t> i</w:t>
      </w:r>
      <w:r>
        <w:rPr>
          <w:rStyle w:val="Style15"/>
        </w:rPr>
        <w:t>) определяется по формуле:</w:t>
      </w:r>
    </w:p>
    <w:p>
      <w:pPr>
        <w:pStyle w:val="Normal"/>
        <w:rPr/>
      </w:pPr>
      <w:r>
        <w:rPr/>
      </w:r>
    </w:p>
    <w:p>
      <w:pPr>
        <w:pStyle w:val="Normal"/>
        <w:ind w:firstLine="698"/>
        <w:jc w:val="center"/>
        <w:rPr/>
      </w:pPr>
      <w:r>
        <w:rPr>
          <w:rStyle w:val="Style15"/>
        </w:rPr>
        <w:t>НИС</w:t>
      </w:r>
      <w:r>
        <w:rPr>
          <w:rStyle w:val="Style15"/>
          <w:vertAlign w:val="subscript"/>
        </w:rPr>
        <w:t> i</w:t>
      </w:r>
      <w:r>
        <w:rPr>
          <w:rStyle w:val="Style15"/>
        </w:rPr>
        <w:t>=0,3</w:t>
      </w:r>
      <w:r>
        <w:rPr/>
        <w:drawing>
          <wp:inline distT="0" distB="0" distL="0" distR="0">
            <wp:extent cx="110490" cy="211455"/>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60"/>
                    <a:stretch>
                      <a:fillRect/>
                    </a:stretch>
                  </pic:blipFill>
                  <pic:spPr bwMode="auto">
                    <a:xfrm>
                      <a:off x="0" y="0"/>
                      <a:ext cx="110490" cy="211455"/>
                    </a:xfrm>
                    <a:prstGeom prst="rect">
                      <a:avLst/>
                    </a:prstGeom>
                  </pic:spPr>
                </pic:pic>
              </a:graphicData>
            </a:graphic>
          </wp:inline>
        </w:drawing>
      </w:r>
      <w:r>
        <w:rPr>
          <w:rStyle w:val="Style15"/>
        </w:rPr>
        <w:t>Огчп</w:t>
      </w:r>
      <w:r>
        <w:rPr>
          <w:rStyle w:val="Style15"/>
          <w:vertAlign w:val="subscript"/>
        </w:rPr>
        <w:t> i</w:t>
      </w:r>
      <w:r>
        <w:rPr>
          <w:rStyle w:val="Style15"/>
        </w:rPr>
        <w:t>+0,2</w:t>
      </w:r>
      <w:r>
        <w:rPr/>
        <w:drawing>
          <wp:inline distT="0" distB="0" distL="0" distR="0">
            <wp:extent cx="110490" cy="211455"/>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61"/>
                    <a:stretch>
                      <a:fillRect/>
                    </a:stretch>
                  </pic:blipFill>
                  <pic:spPr bwMode="auto">
                    <a:xfrm>
                      <a:off x="0" y="0"/>
                      <a:ext cx="110490" cy="211455"/>
                    </a:xfrm>
                    <a:prstGeom prst="rect">
                      <a:avLst/>
                    </a:prstGeom>
                  </pic:spPr>
                </pic:pic>
              </a:graphicData>
            </a:graphic>
          </wp:inline>
        </w:drawing>
      </w:r>
      <w:r>
        <w:rPr>
          <w:rStyle w:val="Style15"/>
        </w:rPr>
        <w:t>Дгчп</w:t>
      </w:r>
      <w:r>
        <w:rPr>
          <w:rStyle w:val="Style15"/>
          <w:vertAlign w:val="subscript"/>
        </w:rPr>
        <w:t> i</w:t>
      </w:r>
      <w:r>
        <w:rPr>
          <w:rStyle w:val="Style15"/>
        </w:rPr>
        <w:t>+0,3</w:t>
      </w:r>
      <w:r>
        <w:rPr/>
        <w:drawing>
          <wp:inline distT="0" distB="0" distL="0" distR="0">
            <wp:extent cx="110490" cy="211455"/>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62"/>
                    <a:stretch>
                      <a:fillRect/>
                    </a:stretch>
                  </pic:blipFill>
                  <pic:spPr bwMode="auto">
                    <a:xfrm>
                      <a:off x="0" y="0"/>
                      <a:ext cx="110490" cy="211455"/>
                    </a:xfrm>
                    <a:prstGeom prst="rect">
                      <a:avLst/>
                    </a:prstGeom>
                  </pic:spPr>
                </pic:pic>
              </a:graphicData>
            </a:graphic>
          </wp:inline>
        </w:drawing>
      </w:r>
      <w:r>
        <w:rPr>
          <w:rStyle w:val="Style15"/>
        </w:rPr>
        <w:t>ООгчп</w:t>
      </w:r>
      <w:r>
        <w:rPr>
          <w:rStyle w:val="Style15"/>
          <w:vertAlign w:val="subscript"/>
        </w:rPr>
        <w:t> i</w:t>
      </w:r>
      <w:r>
        <w:rPr>
          <w:rStyle w:val="Style15"/>
        </w:rPr>
        <w:t>,</w:t>
      </w:r>
    </w:p>
    <w:p>
      <w:pPr>
        <w:pStyle w:val="Normal"/>
        <w:rPr/>
      </w:pPr>
      <w:r>
        <w:rPr/>
      </w:r>
    </w:p>
    <w:p>
      <w:pPr>
        <w:pStyle w:val="Normal"/>
        <w:rPr/>
      </w:pPr>
      <w:r>
        <w:rPr>
          <w:rStyle w:val="Style15"/>
        </w:rPr>
        <w:t>где:</w:t>
      </w:r>
    </w:p>
    <w:p>
      <w:pPr>
        <w:pStyle w:val="Normal"/>
        <w:rPr/>
      </w:pPr>
      <w:r>
        <w:rPr>
          <w:rStyle w:val="Style15"/>
        </w:rPr>
        <w:t>Огчп</w:t>
      </w:r>
      <w:r>
        <w:rPr>
          <w:rStyle w:val="Style15"/>
          <w:vertAlign w:val="subscript"/>
        </w:rPr>
        <w:t> i</w:t>
      </w:r>
      <w:r>
        <w:rPr>
          <w:rStyle w:val="Style15"/>
        </w:rPr>
        <w:t xml:space="preserve"> - показатель открытости процесса привлечения инвесторов в проекты ГЧП (далее - показатель открытости);</w:t>
      </w:r>
    </w:p>
    <w:p>
      <w:pPr>
        <w:pStyle w:val="Normal"/>
        <w:rPr/>
      </w:pPr>
      <w:r>
        <w:rPr>
          <w:rStyle w:val="Style15"/>
        </w:rPr>
        <w:t>Дгчп</w:t>
      </w:r>
      <w:r>
        <w:rPr>
          <w:rStyle w:val="Style15"/>
          <w:vertAlign w:val="subscript"/>
        </w:rPr>
        <w:t> i</w:t>
      </w:r>
      <w:r>
        <w:rPr>
          <w:rStyle w:val="Style15"/>
        </w:rPr>
        <w:t xml:space="preserve"> - показатель дисциплинированности публичной стороны при привлечении инвесторов в проекты ГЧП для i-го субъекта Российской Федерации (далее - показатель дисциплины);</w:t>
      </w:r>
    </w:p>
    <w:p>
      <w:pPr>
        <w:pStyle w:val="Normal"/>
        <w:rPr/>
      </w:pPr>
      <w:r>
        <w:rPr>
          <w:rStyle w:val="Style15"/>
        </w:rPr>
        <w:t>ООгчп</w:t>
      </w:r>
      <w:r>
        <w:rPr>
          <w:rStyle w:val="Style15"/>
          <w:vertAlign w:val="subscript"/>
        </w:rPr>
        <w:t> i</w:t>
      </w:r>
      <w:r>
        <w:rPr>
          <w:rStyle w:val="Style15"/>
        </w:rPr>
        <w:t xml:space="preserve"> - показатель обеспеченности организации процесса привлечения инвесторов в проекты ГЧП и сопровождения соглашений на этапе их реализации для i-гo субъекта Российской Федерации (далее - показатель обеспеченности).</w:t>
      </w:r>
    </w:p>
    <w:p>
      <w:pPr>
        <w:pStyle w:val="Normal"/>
        <w:rPr/>
      </w:pPr>
      <w:r>
        <w:rPr/>
      </w:r>
    </w:p>
    <w:p>
      <w:pPr>
        <w:pStyle w:val="Normal"/>
        <w:rPr/>
      </w:pPr>
      <w:bookmarkStart w:id="115" w:name="sub_1026"/>
      <w:bookmarkEnd w:id="115"/>
      <w:r>
        <w:rPr>
          <w:rStyle w:val="Style15"/>
        </w:rPr>
        <w:t xml:space="preserve">26. Утратил силу с 5 августа 2021 г. - </w:t>
      </w:r>
      <w:hyperlink r:id="rId63">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16" w:name="sub_1026_Копия_1"/>
      <w:bookmarkEnd w:id="116"/>
      <w:r>
        <w:rPr>
          <w:color w:val="000000"/>
          <w:sz w:val="16"/>
          <w:shd w:fill="F0F0F0" w:val="clear"/>
        </w:rPr>
        <w:t>Информация об изменениях:</w:t>
      </w:r>
    </w:p>
    <w:p>
      <w:pPr>
        <w:pStyle w:val="Style23"/>
        <w:bidi w:val="0"/>
        <w:rPr/>
      </w:pPr>
      <w:r>
        <w:rPr/>
        <w:t xml:space="preserve"> </w:t>
      </w:r>
      <w:hyperlink r:id="rId64">
        <w:r>
          <w:rPr>
            <w:rStyle w:val="ListLabel6"/>
            <w:rFonts w:ascii="Times New Roman" w:hAnsi="Times New Roman"/>
            <w:b w:val="false"/>
            <w:color w:val="106BBE"/>
            <w:shd w:fill="F0F0F0" w:val="clear"/>
          </w:rPr>
          <w:t>См. предыдущую редакцию</w:t>
        </w:r>
      </w:hyperlink>
    </w:p>
    <w:p>
      <w:pPr>
        <w:pStyle w:val="Normal"/>
        <w:rPr/>
      </w:pPr>
      <w:bookmarkStart w:id="117" w:name="sub_1027"/>
      <w:bookmarkEnd w:id="117"/>
      <w:r>
        <w:rPr>
          <w:rStyle w:val="Style15"/>
        </w:rPr>
        <w:t xml:space="preserve">27. Утратил силу с 5 августа 2021 г. - </w:t>
      </w:r>
      <w:hyperlink r:id="rId65">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18" w:name="sub_1027_Копия_1"/>
      <w:bookmarkEnd w:id="118"/>
      <w:r>
        <w:rPr>
          <w:color w:val="000000"/>
          <w:sz w:val="16"/>
          <w:shd w:fill="F0F0F0" w:val="clear"/>
        </w:rPr>
        <w:t>Информация об изменениях:</w:t>
      </w:r>
    </w:p>
    <w:p>
      <w:pPr>
        <w:pStyle w:val="Style23"/>
        <w:bidi w:val="0"/>
        <w:rPr/>
      </w:pPr>
      <w:r>
        <w:rPr/>
        <w:t xml:space="preserve"> </w:t>
      </w:r>
      <w:hyperlink r:id="rId66">
        <w:r>
          <w:rPr>
            <w:rStyle w:val="ListLabel6"/>
            <w:rFonts w:ascii="Times New Roman" w:hAnsi="Times New Roman"/>
            <w:b w:val="false"/>
            <w:color w:val="106BBE"/>
            <w:shd w:fill="F0F0F0" w:val="clear"/>
          </w:rPr>
          <w:t>См. предыдущую редакцию</w:t>
        </w:r>
      </w:hyperlink>
    </w:p>
    <w:p>
      <w:pPr>
        <w:pStyle w:val="Normal"/>
        <w:rPr/>
      </w:pPr>
      <w:bookmarkStart w:id="119" w:name="sub_1028"/>
      <w:bookmarkEnd w:id="119"/>
      <w:r>
        <w:rPr>
          <w:rStyle w:val="Style15"/>
        </w:rPr>
        <w:t xml:space="preserve">28. Утратил силу с 5 августа 2021 г. - </w:t>
      </w:r>
      <w:hyperlink r:id="rId67">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20" w:name="sub_1028_Копия_1"/>
      <w:bookmarkEnd w:id="120"/>
      <w:r>
        <w:rPr>
          <w:color w:val="000000"/>
          <w:sz w:val="16"/>
          <w:shd w:fill="F0F0F0" w:val="clear"/>
        </w:rPr>
        <w:t>Информация об изменениях:</w:t>
      </w:r>
    </w:p>
    <w:p>
      <w:pPr>
        <w:pStyle w:val="Style23"/>
        <w:bidi w:val="0"/>
        <w:rPr/>
      </w:pPr>
      <w:r>
        <w:rPr/>
        <w:t xml:space="preserve"> </w:t>
      </w:r>
      <w:hyperlink r:id="rId68">
        <w:r>
          <w:rPr>
            <w:rStyle w:val="ListLabel6"/>
            <w:rFonts w:ascii="Times New Roman" w:hAnsi="Times New Roman"/>
            <w:b w:val="false"/>
            <w:color w:val="106BBE"/>
            <w:shd w:fill="F0F0F0" w:val="clear"/>
          </w:rPr>
          <w:t>См. предыдущую редакцию</w:t>
        </w:r>
      </w:hyperlink>
    </w:p>
    <w:p>
      <w:pPr>
        <w:pStyle w:val="Normal"/>
        <w:rPr/>
      </w:pPr>
      <w:bookmarkStart w:id="121" w:name="sub_1029"/>
      <w:bookmarkEnd w:id="121"/>
      <w:r>
        <w:rPr>
          <w:rStyle w:val="Style15"/>
        </w:rPr>
        <w:t xml:space="preserve">29. Утратил силу с 5 августа 2021 г. - </w:t>
      </w:r>
      <w:hyperlink r:id="rId69">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22" w:name="sub_1029_Копия_1"/>
      <w:bookmarkEnd w:id="122"/>
      <w:r>
        <w:rPr>
          <w:color w:val="000000"/>
          <w:sz w:val="16"/>
          <w:shd w:fill="F0F0F0" w:val="clear"/>
        </w:rPr>
        <w:t>Информация об изменениях:</w:t>
      </w:r>
    </w:p>
    <w:p>
      <w:pPr>
        <w:pStyle w:val="Style23"/>
        <w:bidi w:val="0"/>
        <w:rPr/>
      </w:pPr>
      <w:r>
        <w:rPr/>
        <w:t xml:space="preserve"> </w:t>
      </w:r>
      <w:hyperlink r:id="rId70">
        <w:r>
          <w:rPr>
            <w:rStyle w:val="ListLabel6"/>
            <w:rFonts w:ascii="Times New Roman" w:hAnsi="Times New Roman"/>
            <w:b w:val="false"/>
            <w:color w:val="106BBE"/>
            <w:shd w:fill="F0F0F0" w:val="clear"/>
          </w:rPr>
          <w:t>См. предыдущую редакцию</w:t>
        </w:r>
      </w:hyperlink>
    </w:p>
    <w:p>
      <w:pPr>
        <w:pStyle w:val="Normal"/>
        <w:rPr/>
      </w:pPr>
      <w:bookmarkStart w:id="123" w:name="sub_1030"/>
      <w:bookmarkEnd w:id="123"/>
      <w:r>
        <w:rPr>
          <w:rStyle w:val="Style15"/>
        </w:rPr>
        <w:t xml:space="preserve">30. Утратил силу с 5 августа 2021 г. - </w:t>
      </w:r>
      <w:hyperlink r:id="rId71">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24" w:name="sub_1030_Копия_1"/>
      <w:bookmarkEnd w:id="124"/>
      <w:r>
        <w:rPr>
          <w:color w:val="000000"/>
          <w:sz w:val="16"/>
          <w:shd w:fill="F0F0F0" w:val="clear"/>
        </w:rPr>
        <w:t>Информация об изменениях:</w:t>
      </w:r>
    </w:p>
    <w:p>
      <w:pPr>
        <w:pStyle w:val="Style23"/>
        <w:bidi w:val="0"/>
        <w:rPr/>
      </w:pPr>
      <w:r>
        <w:rPr/>
        <w:t xml:space="preserve"> </w:t>
      </w:r>
      <w:hyperlink r:id="rId72">
        <w:r>
          <w:rPr>
            <w:rStyle w:val="ListLabel6"/>
            <w:rFonts w:ascii="Times New Roman" w:hAnsi="Times New Roman"/>
            <w:b w:val="false"/>
            <w:color w:val="106BBE"/>
            <w:shd w:fill="F0F0F0" w:val="clear"/>
          </w:rPr>
          <w:t>См. предыдущую редакцию</w:t>
        </w:r>
      </w:hyperlink>
    </w:p>
    <w:p>
      <w:pPr>
        <w:pStyle w:val="Normal"/>
        <w:rPr/>
      </w:pPr>
      <w:bookmarkStart w:id="125" w:name="sub_1031"/>
      <w:bookmarkEnd w:id="125"/>
      <w:r>
        <w:rPr>
          <w:rStyle w:val="Style15"/>
        </w:rPr>
        <w:t xml:space="preserve">31. Утратил силу с 5 августа 2021 г. - </w:t>
      </w:r>
      <w:hyperlink r:id="rId73">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26" w:name="sub_1031_Копия_1"/>
      <w:bookmarkEnd w:id="126"/>
      <w:r>
        <w:rPr>
          <w:color w:val="000000"/>
          <w:sz w:val="16"/>
          <w:shd w:fill="F0F0F0" w:val="clear"/>
        </w:rPr>
        <w:t>Информация об изменениях:</w:t>
      </w:r>
    </w:p>
    <w:p>
      <w:pPr>
        <w:pStyle w:val="Style23"/>
        <w:bidi w:val="0"/>
        <w:rPr/>
      </w:pPr>
      <w:r>
        <w:rPr/>
        <w:t xml:space="preserve"> </w:t>
      </w:r>
      <w:hyperlink r:id="rId74">
        <w:r>
          <w:rPr>
            <w:rStyle w:val="ListLabel6"/>
            <w:rFonts w:ascii="Times New Roman" w:hAnsi="Times New Roman"/>
            <w:b w:val="false"/>
            <w:color w:val="106BBE"/>
            <w:shd w:fill="F0F0F0" w:val="clear"/>
          </w:rPr>
          <w:t>См. предыдущую редакцию</w:t>
        </w:r>
      </w:hyperlink>
    </w:p>
    <w:p>
      <w:pPr>
        <w:pStyle w:val="Normal"/>
        <w:rPr/>
      </w:pPr>
      <w:bookmarkStart w:id="127" w:name="sub_1032"/>
      <w:bookmarkEnd w:id="127"/>
      <w:r>
        <w:rPr>
          <w:rStyle w:val="Style15"/>
        </w:rPr>
        <w:t xml:space="preserve">32. Утратил силу с 5 августа 2021 г. - </w:t>
      </w:r>
      <w:hyperlink r:id="rId75">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28" w:name="sub_1032_Копия_1"/>
      <w:bookmarkEnd w:id="128"/>
      <w:r>
        <w:rPr>
          <w:color w:val="000000"/>
          <w:sz w:val="16"/>
          <w:shd w:fill="F0F0F0" w:val="clear"/>
        </w:rPr>
        <w:t>Информация об изменениях:</w:t>
      </w:r>
    </w:p>
    <w:p>
      <w:pPr>
        <w:pStyle w:val="Style23"/>
        <w:bidi w:val="0"/>
        <w:rPr/>
      </w:pPr>
      <w:r>
        <w:rPr/>
        <w:t xml:space="preserve"> </w:t>
      </w:r>
      <w:hyperlink r:id="rId76">
        <w:r>
          <w:rPr>
            <w:rStyle w:val="ListLabel6"/>
            <w:rFonts w:ascii="Times New Roman" w:hAnsi="Times New Roman"/>
            <w:b w:val="false"/>
            <w:color w:val="106BBE"/>
            <w:shd w:fill="F0F0F0" w:val="clear"/>
          </w:rPr>
          <w:t>См. предыдущую редакцию</w:t>
        </w:r>
      </w:hyperlink>
    </w:p>
    <w:p>
      <w:pPr>
        <w:pStyle w:val="Normal"/>
        <w:rPr/>
      </w:pPr>
      <w:bookmarkStart w:id="129" w:name="sub_1033"/>
      <w:bookmarkEnd w:id="129"/>
      <w:r>
        <w:rPr>
          <w:rStyle w:val="Style15"/>
        </w:rPr>
        <w:t xml:space="preserve">33. Утратил силу с 5 августа 2021 г. - </w:t>
      </w:r>
      <w:hyperlink r:id="rId77">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30" w:name="sub_1033_Копия_1"/>
      <w:bookmarkEnd w:id="130"/>
      <w:r>
        <w:rPr>
          <w:color w:val="000000"/>
          <w:sz w:val="16"/>
          <w:shd w:fill="F0F0F0" w:val="clear"/>
        </w:rPr>
        <w:t>Информация об изменениях:</w:t>
      </w:r>
    </w:p>
    <w:p>
      <w:pPr>
        <w:pStyle w:val="Style23"/>
        <w:bidi w:val="0"/>
        <w:rPr/>
      </w:pPr>
      <w:r>
        <w:rPr/>
        <w:t xml:space="preserve"> </w:t>
      </w:r>
      <w:hyperlink r:id="rId78">
        <w:r>
          <w:rPr>
            <w:rStyle w:val="ListLabel6"/>
            <w:rFonts w:ascii="Times New Roman" w:hAnsi="Times New Roman"/>
            <w:b w:val="false"/>
            <w:color w:val="106BBE"/>
            <w:shd w:fill="F0F0F0" w:val="clear"/>
          </w:rPr>
          <w:t>См. предыдущую редакцию</w:t>
        </w:r>
      </w:hyperlink>
    </w:p>
    <w:p>
      <w:pPr>
        <w:pStyle w:val="Normal"/>
        <w:rPr/>
      </w:pPr>
      <w:bookmarkStart w:id="131" w:name="sub_1034"/>
      <w:bookmarkEnd w:id="131"/>
      <w:r>
        <w:rPr>
          <w:rStyle w:val="Style15"/>
        </w:rPr>
        <w:t xml:space="preserve">34. Утратил силу с 5 августа 2021 г. - </w:t>
      </w:r>
      <w:hyperlink r:id="rId79">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32" w:name="sub_1034_Копия_1"/>
      <w:bookmarkEnd w:id="132"/>
      <w:r>
        <w:rPr>
          <w:color w:val="000000"/>
          <w:sz w:val="16"/>
          <w:shd w:fill="F0F0F0" w:val="clear"/>
        </w:rPr>
        <w:t>Информация об изменениях:</w:t>
      </w:r>
    </w:p>
    <w:p>
      <w:pPr>
        <w:pStyle w:val="Style23"/>
        <w:bidi w:val="0"/>
        <w:rPr/>
      </w:pPr>
      <w:r>
        <w:rPr/>
        <w:t xml:space="preserve"> </w:t>
      </w:r>
      <w:hyperlink r:id="rId80">
        <w:r>
          <w:rPr>
            <w:rStyle w:val="ListLabel6"/>
            <w:rFonts w:ascii="Times New Roman" w:hAnsi="Times New Roman"/>
            <w:b w:val="false"/>
            <w:color w:val="106BBE"/>
            <w:shd w:fill="F0F0F0" w:val="clear"/>
          </w:rPr>
          <w:t>См. предыдущую редакцию</w:t>
        </w:r>
      </w:hyperlink>
    </w:p>
    <w:p>
      <w:pPr>
        <w:pStyle w:val="Normal"/>
        <w:rPr/>
      </w:pPr>
      <w:bookmarkStart w:id="133" w:name="sub_1035"/>
      <w:bookmarkEnd w:id="133"/>
      <w:r>
        <w:rPr>
          <w:rStyle w:val="Style15"/>
        </w:rPr>
        <w:t xml:space="preserve">35. Утратил силу с 5 августа 2021 г. - </w:t>
      </w:r>
      <w:hyperlink r:id="rId81">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34" w:name="sub_1035_Копия_1"/>
      <w:bookmarkEnd w:id="134"/>
      <w:r>
        <w:rPr>
          <w:color w:val="000000"/>
          <w:sz w:val="16"/>
          <w:shd w:fill="F0F0F0" w:val="clear"/>
        </w:rPr>
        <w:t>Информация об изменениях:</w:t>
      </w:r>
    </w:p>
    <w:p>
      <w:pPr>
        <w:pStyle w:val="Style23"/>
        <w:bidi w:val="0"/>
        <w:rPr/>
      </w:pPr>
      <w:r>
        <w:rPr/>
        <w:t xml:space="preserve"> </w:t>
      </w:r>
      <w:hyperlink r:id="rId82">
        <w:r>
          <w:rPr>
            <w:rStyle w:val="ListLabel6"/>
            <w:rFonts w:ascii="Times New Roman" w:hAnsi="Times New Roman"/>
            <w:b w:val="false"/>
            <w:color w:val="106BBE"/>
            <w:shd w:fill="F0F0F0" w:val="clear"/>
          </w:rPr>
          <w:t>См. предыдущую редакцию</w:t>
        </w:r>
      </w:hyperlink>
    </w:p>
    <w:p>
      <w:pPr>
        <w:pStyle w:val="Normal"/>
        <w:rPr/>
      </w:pPr>
      <w:bookmarkStart w:id="135" w:name="sub_1036"/>
      <w:bookmarkEnd w:id="135"/>
      <w:r>
        <w:rPr>
          <w:rStyle w:val="Style15"/>
        </w:rPr>
        <w:t xml:space="preserve">36. Утратил силу с 5 августа 2021 г. - </w:t>
      </w:r>
      <w:hyperlink r:id="rId83">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136" w:name="sub_1036_Копия_1"/>
      <w:bookmarkEnd w:id="136"/>
      <w:r>
        <w:rPr>
          <w:color w:val="000000"/>
          <w:sz w:val="16"/>
          <w:shd w:fill="F0F0F0" w:val="clear"/>
        </w:rPr>
        <w:t>Информация об изменениях:</w:t>
      </w:r>
    </w:p>
    <w:p>
      <w:pPr>
        <w:pStyle w:val="Style23"/>
        <w:bidi w:val="0"/>
        <w:rPr/>
      </w:pPr>
      <w:r>
        <w:rPr/>
        <w:t xml:space="preserve"> </w:t>
      </w:r>
      <w:hyperlink r:id="rId84">
        <w:r>
          <w:rPr>
            <w:rStyle w:val="ListLabel6"/>
            <w:rFonts w:ascii="Times New Roman" w:hAnsi="Times New Roman"/>
            <w:b w:val="false"/>
            <w:color w:val="106BBE"/>
            <w:shd w:fill="F0F0F0" w:val="clear"/>
          </w:rPr>
          <w:t>См. предыдущую редакцию</w:t>
        </w:r>
      </w:hyperlink>
    </w:p>
    <w:p>
      <w:pPr>
        <w:pStyle w:val="Normal"/>
        <w:rPr/>
      </w:pPr>
      <w:bookmarkStart w:id="137" w:name="sub_1037"/>
      <w:bookmarkEnd w:id="137"/>
      <w:r>
        <w:rPr>
          <w:rStyle w:val="Style15"/>
        </w:rPr>
        <w:t>37. Показатель открытости для i-го субъекта Российской Федерации (Огчп</w:t>
      </w:r>
      <w:r>
        <w:rPr>
          <w:rStyle w:val="Style15"/>
          <w:vertAlign w:val="subscript"/>
        </w:rPr>
        <w:t> i</w:t>
      </w:r>
      <w:r>
        <w:rPr>
          <w:rStyle w:val="Style15"/>
        </w:rPr>
        <w:t>) определяется по формуле:</w:t>
      </w:r>
    </w:p>
    <w:p>
      <w:pPr>
        <w:pStyle w:val="Normal"/>
        <w:rPr/>
      </w:pPr>
      <w:r>
        <w:rPr/>
      </w:r>
      <w:bookmarkStart w:id="138" w:name="sub_1037_Копия_2"/>
      <w:bookmarkStart w:id="139" w:name="sub_1037_Копия_1"/>
      <w:bookmarkStart w:id="140" w:name="sub_1037_Копия_2"/>
      <w:bookmarkStart w:id="141" w:name="sub_1037_Копия_1"/>
      <w:bookmarkEnd w:id="140"/>
      <w:bookmarkEnd w:id="141"/>
    </w:p>
    <w:p>
      <w:pPr>
        <w:pStyle w:val="Normal"/>
        <w:ind w:firstLine="698"/>
        <w:jc w:val="center"/>
        <w:rPr/>
      </w:pPr>
      <w:r>
        <w:rPr>
          <w:rStyle w:val="Style15"/>
        </w:rPr>
        <w:t>Огчп</w:t>
      </w:r>
      <w:r>
        <w:rPr>
          <w:rStyle w:val="Style15"/>
          <w:vertAlign w:val="subscript"/>
        </w:rPr>
        <w:t> i</w:t>
      </w:r>
      <w:r>
        <w:rPr>
          <w:rStyle w:val="Style15"/>
        </w:rPr>
        <w:t>=0,40</w:t>
      </w:r>
      <w:r>
        <w:rPr/>
        <w:drawing>
          <wp:inline distT="0" distB="0" distL="0" distR="0">
            <wp:extent cx="110490" cy="211455"/>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85"/>
                    <a:stretch>
                      <a:fillRect/>
                    </a:stretch>
                  </pic:blipFill>
                  <pic:spPr bwMode="auto">
                    <a:xfrm>
                      <a:off x="0" y="0"/>
                      <a:ext cx="110490" cy="211455"/>
                    </a:xfrm>
                    <a:prstGeom prst="rect">
                      <a:avLst/>
                    </a:prstGeom>
                  </pic:spPr>
                </pic:pic>
              </a:graphicData>
            </a:graphic>
          </wp:inline>
        </w:drawing>
      </w:r>
      <w:r>
        <w:rPr>
          <w:rStyle w:val="Style15"/>
        </w:rPr>
        <w:t>ПСК</w:t>
      </w:r>
      <w:r>
        <w:rPr>
          <w:rStyle w:val="Style15"/>
          <w:vertAlign w:val="subscript"/>
        </w:rPr>
        <w:t> i</w:t>
      </w:r>
      <w:r>
        <w:rPr>
          <w:rStyle w:val="Style15"/>
        </w:rPr>
        <w:t>+0,60</w:t>
      </w:r>
      <w:r>
        <w:rPr/>
        <w:drawing>
          <wp:inline distT="0" distB="0" distL="0" distR="0">
            <wp:extent cx="110490" cy="211455"/>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86"/>
                    <a:stretch>
                      <a:fillRect/>
                    </a:stretch>
                  </pic:blipFill>
                  <pic:spPr bwMode="auto">
                    <a:xfrm>
                      <a:off x="0" y="0"/>
                      <a:ext cx="110490" cy="211455"/>
                    </a:xfrm>
                    <a:prstGeom prst="rect">
                      <a:avLst/>
                    </a:prstGeom>
                  </pic:spPr>
                </pic:pic>
              </a:graphicData>
            </a:graphic>
          </wp:inline>
        </w:drawing>
      </w:r>
      <w:r>
        <w:rPr>
          <w:rStyle w:val="Style15"/>
        </w:rPr>
        <w:t>КИС</w:t>
      </w:r>
      <w:r>
        <w:rPr>
          <w:rStyle w:val="Style15"/>
          <w:vertAlign w:val="subscript"/>
        </w:rPr>
        <w:t> i</w:t>
      </w:r>
      <w:r>
        <w:rPr>
          <w:rStyle w:val="Style15"/>
        </w:rPr>
        <w:t>,</w:t>
      </w:r>
    </w:p>
    <w:p>
      <w:pPr>
        <w:pStyle w:val="Normal"/>
        <w:rPr/>
      </w:pPr>
      <w:r>
        <w:rPr/>
      </w:r>
    </w:p>
    <w:p>
      <w:pPr>
        <w:pStyle w:val="Normal"/>
        <w:rPr/>
      </w:pPr>
      <w:r>
        <w:rPr>
          <w:rStyle w:val="Style15"/>
        </w:rPr>
        <w:t>где:</w:t>
      </w:r>
    </w:p>
    <w:p>
      <w:pPr>
        <w:pStyle w:val="Normal"/>
        <w:rPr/>
      </w:pPr>
      <w:r>
        <w:rPr>
          <w:rStyle w:val="Style15"/>
        </w:rPr>
        <w:t>ПСК</w:t>
      </w:r>
      <w:r>
        <w:rPr>
          <w:rStyle w:val="Style15"/>
          <w:vertAlign w:val="subscript"/>
        </w:rPr>
        <w:t> i</w:t>
      </w:r>
      <w:r>
        <w:rPr>
          <w:rStyle w:val="Style15"/>
        </w:rPr>
        <w:t xml:space="preserve"> - приведенная доля концессионных соглашений и соглашений о ГЧП (МЧП), заключенных в i-м субъекте Российской Федерации за отчетный год по результатам конкурса, признанного состоявшимся;</w:t>
      </w:r>
    </w:p>
    <w:p>
      <w:pPr>
        <w:pStyle w:val="Normal"/>
        <w:rPr/>
      </w:pPr>
      <w:r>
        <w:rPr>
          <w:rStyle w:val="Style15"/>
        </w:rPr>
        <w:t>КИС</w:t>
      </w:r>
      <w:r>
        <w:rPr>
          <w:rStyle w:val="Style15"/>
          <w:vertAlign w:val="subscript"/>
        </w:rPr>
        <w:t> i</w:t>
      </w:r>
      <w:r>
        <w:rPr>
          <w:rStyle w:val="Style15"/>
        </w:rPr>
        <w:t xml:space="preserve"> - показатель качества и полноты заполнения специализированного информационного ресурса i-го субъекта Российской Федерации в сфере государственно-частного партнерства в информационно-телекоммуникационной сети "Интернет" или раздела на официальном сайте субъекта Российской Федерации, органа исполнительной власти (уполномоченного органа) субъекта Российской Федерации или инвестиционном портале субъекта Российской Федерации (далее соответственно - сайт, показатель качества сайта).</w:t>
      </w:r>
    </w:p>
    <w:p>
      <w:pPr>
        <w:pStyle w:val="Normal"/>
        <w:rPr/>
      </w:pPr>
      <w:r>
        <w:rPr/>
      </w:r>
    </w:p>
    <w:p>
      <w:pPr>
        <w:pStyle w:val="Normal"/>
        <w:rPr/>
      </w:pPr>
      <w:bookmarkStart w:id="142" w:name="sub_1038"/>
      <w:bookmarkEnd w:id="142"/>
      <w:r>
        <w:rPr>
          <w:rStyle w:val="Style15"/>
        </w:rPr>
        <w:t>38. Приведенная доля концессионных соглашений и соглашений о ГЧП (МЧП), заключенных в i-м субъекте Российской Федерации за отчетный год по результатам конкурса, признанного состоявшимся (ПСК</w:t>
      </w:r>
      <w:r>
        <w:rPr>
          <w:rStyle w:val="Style15"/>
          <w:vertAlign w:val="subscript"/>
        </w:rPr>
        <w:t> i</w:t>
      </w:r>
      <w:r>
        <w:rPr>
          <w:rStyle w:val="Style15"/>
        </w:rPr>
        <w:t>), определяется как отношение количества концессионных соглашений и соглашений о ГЧП (МЧП), заключенных в i-м субъекте Российской Федерации за отчетный год по результатам конкурса, признанного состоявшимся, к количеству таких соглашений, заключенных в i-м субъекте Российской Федерации за отчетный год по результатам конкурса (СК</w:t>
      </w:r>
      <w:r>
        <w:rPr>
          <w:rStyle w:val="Style15"/>
          <w:vertAlign w:val="subscript"/>
        </w:rPr>
        <w:t> i</w:t>
      </w:r>
      <w:r>
        <w:rPr>
          <w:rStyle w:val="Style15"/>
        </w:rPr>
        <w:t>), с использованием следующей таблицы приведения:</w:t>
      </w:r>
    </w:p>
    <w:p>
      <w:pPr>
        <w:pStyle w:val="Normal"/>
        <w:rPr/>
      </w:pPr>
      <w:r>
        <w:rPr/>
      </w:r>
      <w:bookmarkStart w:id="143" w:name="sub_1038_Копия_2"/>
      <w:bookmarkStart w:id="144" w:name="sub_1038_Копия_1"/>
      <w:bookmarkStart w:id="145" w:name="sub_1038_Копия_2"/>
      <w:bookmarkStart w:id="146" w:name="sub_1038_Копия_1"/>
      <w:bookmarkEnd w:id="145"/>
      <w:bookmarkEnd w:id="146"/>
    </w:p>
    <w:tbl>
      <w:tblPr>
        <w:tblW w:w="10335" w:type="dxa"/>
        <w:jc w:val="left"/>
        <w:tblInd w:w="108" w:type="dxa"/>
        <w:tblLayout w:type="fixed"/>
        <w:tblCellMar>
          <w:top w:w="0" w:type="dxa"/>
          <w:left w:w="108" w:type="dxa"/>
          <w:bottom w:w="0" w:type="dxa"/>
          <w:right w:w="108" w:type="dxa"/>
        </w:tblCellMar>
      </w:tblPr>
      <w:tblGrid>
        <w:gridCol w:w="5049"/>
        <w:gridCol w:w="5285"/>
      </w:tblGrid>
      <w:tr>
        <w:trPr/>
        <w:tc>
          <w:tcPr>
            <w:tcW w:w="5049" w:type="dxa"/>
            <w:tcBorders>
              <w:top w:val="single" w:sz="4" w:space="0" w:color="000000"/>
            </w:tcBorders>
          </w:tcPr>
          <w:p>
            <w:pPr>
              <w:pStyle w:val="Style22"/>
              <w:tabs>
                <w:tab w:val="clear" w:pos="720"/>
              </w:tabs>
              <w:bidi w:val="0"/>
              <w:jc w:val="center"/>
              <w:rPr/>
            </w:pPr>
            <w:r>
              <w:rPr/>
              <w:t>Значение СК</w:t>
            </w:r>
            <w:r>
              <w:rPr>
                <w:vertAlign w:val="subscript"/>
              </w:rPr>
              <w:t> i</w:t>
            </w:r>
            <w:r>
              <w:rPr/>
              <w:t xml:space="preserve"> (проценты)</w:t>
            </w:r>
          </w:p>
        </w:tc>
        <w:tc>
          <w:tcPr>
            <w:tcW w:w="5285" w:type="dxa"/>
            <w:tcBorders>
              <w:top w:val="single" w:sz="4" w:space="0" w:color="000000"/>
              <w:left w:val="single" w:sz="4" w:space="0" w:color="000000"/>
              <w:right w:val="single" w:sz="4" w:space="0" w:color="000000"/>
            </w:tcBorders>
          </w:tcPr>
          <w:p>
            <w:pPr>
              <w:pStyle w:val="Style22"/>
              <w:tabs>
                <w:tab w:val="clear" w:pos="720"/>
              </w:tabs>
              <w:bidi w:val="0"/>
              <w:jc w:val="center"/>
              <w:rPr/>
            </w:pPr>
            <w:r>
              <w:rPr/>
              <w:t>Значение ПСК</w:t>
            </w:r>
            <w:r>
              <w:rPr>
                <w:vertAlign w:val="subscript"/>
              </w:rPr>
              <w:t> i</w:t>
            </w:r>
            <w:r>
              <w:rPr/>
              <w:t xml:space="preserve"> (баллов)</w:t>
            </w:r>
          </w:p>
        </w:tc>
      </w:tr>
      <w:tr>
        <w:trPr/>
        <w:tc>
          <w:tcPr>
            <w:tcW w:w="5049" w:type="dxa"/>
            <w:tcBorders>
              <w:top w:val="single" w:sz="4" w:space="0" w:color="000000"/>
            </w:tcBorders>
          </w:tcPr>
          <w:p>
            <w:pPr>
              <w:pStyle w:val="Style22"/>
              <w:tabs>
                <w:tab w:val="clear" w:pos="720"/>
              </w:tabs>
              <w:bidi w:val="0"/>
              <w:jc w:val="center"/>
              <w:rPr/>
            </w:pPr>
            <w:r>
              <w:rPr/>
              <w:t>От 0 до 30 (включительно)</w:t>
            </w:r>
          </w:p>
        </w:tc>
        <w:tc>
          <w:tcPr>
            <w:tcW w:w="5285" w:type="dxa"/>
            <w:tcBorders>
              <w:top w:val="single" w:sz="4" w:space="0" w:color="000000"/>
            </w:tcBorders>
          </w:tcPr>
          <w:p>
            <w:pPr>
              <w:pStyle w:val="Style22"/>
              <w:tabs>
                <w:tab w:val="clear" w:pos="720"/>
              </w:tabs>
              <w:bidi w:val="0"/>
              <w:jc w:val="center"/>
              <w:rPr/>
            </w:pPr>
            <w:r>
              <w:rPr/>
              <w:t>0</w:t>
            </w:r>
          </w:p>
        </w:tc>
      </w:tr>
      <w:tr>
        <w:trPr/>
        <w:tc>
          <w:tcPr>
            <w:tcW w:w="5049" w:type="dxa"/>
            <w:tcBorders/>
          </w:tcPr>
          <w:p>
            <w:pPr>
              <w:pStyle w:val="Style22"/>
              <w:tabs>
                <w:tab w:val="clear" w:pos="720"/>
              </w:tabs>
              <w:bidi w:val="0"/>
              <w:jc w:val="center"/>
              <w:rPr/>
            </w:pPr>
            <w:r>
              <w:rPr/>
              <w:t>От 30 до 50 (включительно)</w:t>
            </w:r>
          </w:p>
        </w:tc>
        <w:tc>
          <w:tcPr>
            <w:tcW w:w="5285" w:type="dxa"/>
            <w:tcBorders/>
          </w:tcPr>
          <w:p>
            <w:pPr>
              <w:pStyle w:val="Style22"/>
              <w:tabs>
                <w:tab w:val="clear" w:pos="720"/>
              </w:tabs>
              <w:bidi w:val="0"/>
              <w:jc w:val="center"/>
              <w:rPr/>
            </w:pPr>
            <w:r>
              <w:rPr/>
              <w:t>30</w:t>
            </w:r>
          </w:p>
        </w:tc>
      </w:tr>
      <w:tr>
        <w:trPr/>
        <w:tc>
          <w:tcPr>
            <w:tcW w:w="5049" w:type="dxa"/>
            <w:tcBorders/>
          </w:tcPr>
          <w:p>
            <w:pPr>
              <w:pStyle w:val="Style22"/>
              <w:tabs>
                <w:tab w:val="clear" w:pos="720"/>
              </w:tabs>
              <w:bidi w:val="0"/>
              <w:jc w:val="center"/>
              <w:rPr/>
            </w:pPr>
            <w:r>
              <w:rPr/>
              <w:t>От 50 до 70 (включительно)</w:t>
            </w:r>
          </w:p>
        </w:tc>
        <w:tc>
          <w:tcPr>
            <w:tcW w:w="5285" w:type="dxa"/>
            <w:tcBorders/>
          </w:tcPr>
          <w:p>
            <w:pPr>
              <w:pStyle w:val="Style22"/>
              <w:tabs>
                <w:tab w:val="clear" w:pos="720"/>
              </w:tabs>
              <w:bidi w:val="0"/>
              <w:jc w:val="center"/>
              <w:rPr/>
            </w:pPr>
            <w:r>
              <w:rPr/>
              <w:t>70</w:t>
            </w:r>
          </w:p>
        </w:tc>
      </w:tr>
      <w:tr>
        <w:trPr/>
        <w:tc>
          <w:tcPr>
            <w:tcW w:w="5049" w:type="dxa"/>
            <w:tcBorders/>
          </w:tcPr>
          <w:p>
            <w:pPr>
              <w:pStyle w:val="Style22"/>
              <w:tabs>
                <w:tab w:val="clear" w:pos="720"/>
              </w:tabs>
              <w:bidi w:val="0"/>
              <w:jc w:val="center"/>
              <w:rPr/>
            </w:pPr>
            <w:r>
              <w:rPr/>
              <w:t>Более 70</w:t>
            </w:r>
          </w:p>
        </w:tc>
        <w:tc>
          <w:tcPr>
            <w:tcW w:w="5285" w:type="dxa"/>
            <w:tcBorders/>
          </w:tcPr>
          <w:p>
            <w:pPr>
              <w:pStyle w:val="Style22"/>
              <w:tabs>
                <w:tab w:val="clear" w:pos="720"/>
              </w:tabs>
              <w:bidi w:val="0"/>
              <w:jc w:val="center"/>
              <w:rPr/>
            </w:pPr>
            <w:r>
              <w:rPr/>
              <w:t>100</w:t>
            </w:r>
          </w:p>
        </w:tc>
      </w:tr>
    </w:tbl>
    <w:p>
      <w:pPr>
        <w:pStyle w:val="Normal"/>
        <w:rPr/>
      </w:pPr>
      <w:r>
        <w:rPr/>
      </w:r>
    </w:p>
    <w:p>
      <w:pPr>
        <w:pStyle w:val="Normal"/>
        <w:rPr/>
      </w:pPr>
      <w:bookmarkStart w:id="147" w:name="sub_1039"/>
      <w:bookmarkEnd w:id="147"/>
      <w:r>
        <w:rPr>
          <w:rStyle w:val="Style15"/>
        </w:rPr>
        <w:t>39. В целях расчета доли концессионных соглашений и соглашений о ГЧП (МЧП), заключенных в i-м субъекте Российской Федерации за отчетный год по результатам конкурса, признанного состоявшимся, под состоявшимся конкурсом понимается такой конкурс на право заключения соглашения, в котором были оценены конкурсные предложения от двух и более участников.</w:t>
      </w:r>
    </w:p>
    <w:p>
      <w:pPr>
        <w:pStyle w:val="Normal"/>
        <w:rPr/>
      </w:pPr>
      <w:bookmarkStart w:id="148" w:name="sub_1040_Копия_1"/>
      <w:bookmarkStart w:id="149" w:name="sub_1040"/>
      <w:bookmarkEnd w:id="148"/>
      <w:bookmarkEnd w:id="149"/>
      <w:r>
        <w:rPr>
          <w:rStyle w:val="Style15"/>
        </w:rPr>
        <w:t>40. Показатель качества сайта для i-го субъекта Российской Федерации (КИС</w:t>
      </w:r>
      <w:r>
        <w:rPr>
          <w:rStyle w:val="Style15"/>
          <w:vertAlign w:val="subscript"/>
        </w:rPr>
        <w:t> i</w:t>
      </w:r>
      <w:r>
        <w:rPr>
          <w:rStyle w:val="Style15"/>
        </w:rPr>
        <w:t>) определяется на основании оценок экспертных организаций.</w:t>
      </w:r>
    </w:p>
    <w:p>
      <w:pPr>
        <w:pStyle w:val="Normal"/>
        <w:rPr/>
      </w:pPr>
      <w:bookmarkStart w:id="150" w:name="sub_1041_Копия_1"/>
      <w:bookmarkStart w:id="151" w:name="sub_1041"/>
      <w:bookmarkEnd w:id="150"/>
      <w:bookmarkEnd w:id="151"/>
      <w:r>
        <w:rPr>
          <w:rStyle w:val="Style15"/>
        </w:rPr>
        <w:t>41. Экспертными организациями оценивается в том числе наличие и содержание на сайтах:</w:t>
      </w:r>
    </w:p>
    <w:p>
      <w:pPr>
        <w:pStyle w:val="Normal"/>
        <w:rPr/>
      </w:pPr>
      <w:bookmarkStart w:id="152" w:name="sub_1041_Копия_2"/>
      <w:bookmarkEnd w:id="152"/>
      <w:r>
        <w:rPr>
          <w:rStyle w:val="Style15"/>
        </w:rPr>
        <w:t>информации о планируемых, реализуемых и реализованных проектах ГЧП, включая сборник наилучших практик по заключенным субъектом Российской Федерации и муниципальными образованиями субъекта Российской Федерации соглашениям и иные релевантные аналитические материалы;</w:t>
      </w:r>
    </w:p>
    <w:p>
      <w:pPr>
        <w:pStyle w:val="Normal"/>
        <w:rPr/>
      </w:pPr>
      <w:r>
        <w:rPr>
          <w:rStyle w:val="Style15"/>
        </w:rPr>
        <w:t>перечня объектов, в отношении которых планируются к реализации проекты ГЧП на региональном и муниципальном уровнях;</w:t>
      </w:r>
    </w:p>
    <w:p>
      <w:pPr>
        <w:pStyle w:val="Normal"/>
        <w:rPr/>
      </w:pPr>
      <w:r>
        <w:rPr>
          <w:rStyle w:val="Style15"/>
        </w:rPr>
        <w:t>перечня мер поддержки (с указанием актуальных текстов актов субъекта Российской Федерации и муниципальных образований субъекта Российской Федерации), которые могут быть оказаны участникам проектов ГЧП субъектом Российской Федерации и муниципальными образованиями субъекта Российской Федерации, а также отраслевой специфики оказываемых мер поддержки;</w:t>
      </w:r>
    </w:p>
    <w:p>
      <w:pPr>
        <w:pStyle w:val="Normal"/>
        <w:rPr/>
      </w:pPr>
      <w:r>
        <w:rPr>
          <w:rStyle w:val="Style15"/>
        </w:rPr>
        <w:t>информации о планируемых, проводимых и проведенных конкурсах на право заключения концессионных соглашений и соглашений о ГЧП (МЧП) на региональном и муниципальном уровнях с указанием дат проведения конкурса и ссылок на официальный сайт Российской Федерации в информационно-телекоммуникационной сети "Интернет" для размещения информации о проведении торгов http://www.torgi.gov.ru;</w:t>
      </w:r>
    </w:p>
    <w:p>
      <w:pPr>
        <w:pStyle w:val="Normal"/>
        <w:rPr/>
      </w:pPr>
      <w:r>
        <w:rPr>
          <w:rStyle w:val="Style15"/>
        </w:rPr>
        <w:t xml:space="preserve">информации об инициированных на региональном и муниципальном уровнях концессионных соглашениях и соглашениях о ГЧП (МЧП) в порядке, предусмотренном </w:t>
      </w:r>
      <w:hyperlink r:id="rId87">
        <w:r>
          <w:rPr>
            <w:rStyle w:val="ListLabel5"/>
            <w:rFonts w:ascii="Times New Roman" w:hAnsi="Times New Roman"/>
            <w:b w:val="false"/>
            <w:color w:val="106BBE"/>
          </w:rPr>
          <w:t>частью 4.1 статьи 37</w:t>
        </w:r>
      </w:hyperlink>
      <w:r>
        <w:rPr>
          <w:rStyle w:val="Style15"/>
        </w:rPr>
        <w:t xml:space="preserve"> Закона N 115-ФЗ и </w:t>
      </w:r>
      <w:hyperlink r:id="rId88">
        <w:r>
          <w:rPr>
            <w:rStyle w:val="ListLabel5"/>
            <w:rFonts w:ascii="Times New Roman" w:hAnsi="Times New Roman"/>
            <w:b w:val="false"/>
            <w:color w:val="106BBE"/>
          </w:rPr>
          <w:t>частью 2 статьи 8</w:t>
        </w:r>
      </w:hyperlink>
      <w:r>
        <w:rPr>
          <w:rStyle w:val="Style15"/>
        </w:rPr>
        <w:t xml:space="preserve"> Закона N 224-ФЗ соответственно, которые находились на рассмотрении органов власти в отчетном году, с указанием ссылок на официальный сайт Российской Федерации в информационно-телекоммуникационной сети "Интернет" для размещения информации о проведении торгов </w:t>
      </w:r>
      <w:hyperlink r:id="rId89">
        <w:r>
          <w:rPr>
            <w:rStyle w:val="ListLabel5"/>
            <w:rFonts w:ascii="Times New Roman" w:hAnsi="Times New Roman"/>
            <w:b w:val="false"/>
            <w:color w:val="106BBE"/>
          </w:rPr>
          <w:t>http://www.torgi.gov.ru</w:t>
        </w:r>
      </w:hyperlink>
      <w:r>
        <w:rPr>
          <w:rStyle w:val="Style15"/>
        </w:rPr>
        <w:t>;</w:t>
      </w:r>
    </w:p>
    <w:p>
      <w:pPr>
        <w:pStyle w:val="Normal"/>
        <w:rPr/>
      </w:pPr>
      <w:r>
        <w:rPr>
          <w:rStyle w:val="Style15"/>
        </w:rPr>
        <w:t>перечня органов власти и организаций, ответственных за сопровождение проектов ГЧП;</w:t>
      </w:r>
    </w:p>
    <w:p>
      <w:pPr>
        <w:pStyle w:val="Normal"/>
        <w:rPr/>
      </w:pPr>
      <w:r>
        <w:rPr>
          <w:rStyle w:val="Style15"/>
        </w:rPr>
        <w:t>актуальных контактов ответственных сотрудников, предоставляющих консультации потенциальным инвесторам о возможностях их участия в проектах ГЧП на региональном и муниципальном уровнях.</w:t>
      </w:r>
    </w:p>
    <w:p>
      <w:pPr>
        <w:pStyle w:val="Normal"/>
        <w:rPr/>
      </w:pPr>
      <w:bookmarkStart w:id="153" w:name="sub_1042"/>
      <w:bookmarkEnd w:id="153"/>
      <w:r>
        <w:rPr>
          <w:rStyle w:val="Style15"/>
        </w:rPr>
        <w:t>42. Каждая из экспертных организаций при оценке показателя качества сайта для i-го субъекта Российской Федерации (КИС</w:t>
      </w:r>
      <w:r>
        <w:rPr>
          <w:rStyle w:val="Style15"/>
          <w:vertAlign w:val="subscript"/>
        </w:rPr>
        <w:t> i</w:t>
      </w:r>
      <w:r>
        <w:rPr>
          <w:rStyle w:val="Style15"/>
        </w:rPr>
        <w:t>) указывает балльную оценку в диапазоне от 0 до 100.</w:t>
      </w:r>
    </w:p>
    <w:p>
      <w:pPr>
        <w:pStyle w:val="Normal"/>
        <w:rPr/>
      </w:pPr>
      <w:bookmarkStart w:id="154" w:name="sub_1043_Копия_1"/>
      <w:bookmarkStart w:id="155" w:name="sub_1043"/>
      <w:bookmarkEnd w:id="154"/>
      <w:bookmarkEnd w:id="155"/>
      <w:r>
        <w:rPr>
          <w:rStyle w:val="Style15"/>
        </w:rPr>
        <w:t>43. Значение показателя качества сайта для i-го субъекта Российской Федерации (КИС;) определяется как среднее арифметическое простое из представленных оценок экспертных организаций без учета наибольшей и наименьшей из таких оценок.</w:t>
      </w:r>
    </w:p>
    <w:p>
      <w:pPr>
        <w:pStyle w:val="Normal"/>
        <w:rPr/>
      </w:pPr>
      <w:bookmarkStart w:id="156" w:name="sub_1044_Копия_1"/>
      <w:bookmarkStart w:id="157" w:name="sub_1044"/>
      <w:bookmarkEnd w:id="156"/>
      <w:bookmarkEnd w:id="157"/>
      <w:r>
        <w:rPr>
          <w:rStyle w:val="Style15"/>
        </w:rPr>
        <w:t>44. Показатель дисциплины для i-го субъекта Российской Федерации (Дгчп</w:t>
      </w:r>
      <w:r>
        <w:rPr>
          <w:rStyle w:val="Style15"/>
          <w:vertAlign w:val="subscript"/>
        </w:rPr>
        <w:t> i</w:t>
      </w:r>
      <w:r>
        <w:rPr>
          <w:rStyle w:val="Style15"/>
        </w:rPr>
        <w:t>) определяется по формуле:</w:t>
      </w:r>
    </w:p>
    <w:p>
      <w:pPr>
        <w:pStyle w:val="Normal"/>
        <w:rPr/>
      </w:pPr>
      <w:r>
        <w:rPr/>
      </w:r>
      <w:bookmarkStart w:id="158" w:name="sub_1044_Копия_3"/>
      <w:bookmarkStart w:id="159" w:name="sub_1044_Копия_2"/>
      <w:bookmarkStart w:id="160" w:name="sub_1044_Копия_3"/>
      <w:bookmarkStart w:id="161" w:name="sub_1044_Копия_2"/>
      <w:bookmarkEnd w:id="160"/>
      <w:bookmarkEnd w:id="161"/>
    </w:p>
    <w:p>
      <w:pPr>
        <w:pStyle w:val="Normal"/>
        <w:ind w:firstLine="698"/>
        <w:jc w:val="center"/>
        <w:rPr/>
      </w:pPr>
      <w:r>
        <w:rPr>
          <w:rStyle w:val="Style15"/>
        </w:rPr>
        <w:t>Дгчп</w:t>
      </w:r>
      <w:r>
        <w:rPr>
          <w:rStyle w:val="Style15"/>
          <w:vertAlign w:val="subscript"/>
        </w:rPr>
        <w:t> i</w:t>
      </w:r>
      <w:r>
        <w:rPr>
          <w:rStyle w:val="Style15"/>
        </w:rPr>
        <w:t>=0,70</w:t>
      </w:r>
      <w:r>
        <w:rPr/>
        <w:drawing>
          <wp:inline distT="0" distB="0" distL="0" distR="0">
            <wp:extent cx="110490" cy="211455"/>
            <wp:effectExtent l="0" t="0" r="0" b="0"/>
            <wp:docPr id="20"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0" descr=""/>
                    <pic:cNvPicPr>
                      <a:picLocks noChangeAspect="1" noChangeArrowheads="1"/>
                    </pic:cNvPicPr>
                  </pic:nvPicPr>
                  <pic:blipFill>
                    <a:blip r:embed="rId90"/>
                    <a:stretch>
                      <a:fillRect/>
                    </a:stretch>
                  </pic:blipFill>
                  <pic:spPr bwMode="auto">
                    <a:xfrm>
                      <a:off x="0" y="0"/>
                      <a:ext cx="110490" cy="211455"/>
                    </a:xfrm>
                    <a:prstGeom prst="rect">
                      <a:avLst/>
                    </a:prstGeom>
                  </pic:spPr>
                </pic:pic>
              </a:graphicData>
            </a:graphic>
          </wp:inline>
        </w:drawing>
      </w:r>
      <w:r>
        <w:rPr>
          <w:rStyle w:val="Style15"/>
        </w:rPr>
        <w:t>ПСЗС</w:t>
      </w:r>
      <w:r>
        <w:rPr>
          <w:rStyle w:val="Style15"/>
          <w:vertAlign w:val="subscript"/>
        </w:rPr>
        <w:t> i</w:t>
      </w:r>
      <w:r>
        <w:rPr>
          <w:rStyle w:val="Style15"/>
        </w:rPr>
        <w:t>+0,30</w:t>
      </w:r>
      <w:r>
        <w:rPr/>
        <w:drawing>
          <wp:inline distT="0" distB="0" distL="0" distR="0">
            <wp:extent cx="110490" cy="211455"/>
            <wp:effectExtent l="0" t="0" r="0" b="0"/>
            <wp:docPr id="21"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1" descr=""/>
                    <pic:cNvPicPr>
                      <a:picLocks noChangeAspect="1" noChangeArrowheads="1"/>
                    </pic:cNvPicPr>
                  </pic:nvPicPr>
                  <pic:blipFill>
                    <a:blip r:embed="rId91"/>
                    <a:stretch>
                      <a:fillRect/>
                    </a:stretch>
                  </pic:blipFill>
                  <pic:spPr bwMode="auto">
                    <a:xfrm>
                      <a:off x="0" y="0"/>
                      <a:ext cx="110490" cy="211455"/>
                    </a:xfrm>
                    <a:prstGeom prst="rect">
                      <a:avLst/>
                    </a:prstGeom>
                  </pic:spPr>
                </pic:pic>
              </a:graphicData>
            </a:graphic>
          </wp:inline>
        </w:drawing>
      </w:r>
      <w:r>
        <w:rPr>
          <w:rStyle w:val="Style15"/>
        </w:rPr>
        <w:t>ПСДП</w:t>
      </w:r>
      <w:r>
        <w:rPr>
          <w:rStyle w:val="Style15"/>
          <w:vertAlign w:val="subscript"/>
        </w:rPr>
        <w:t> i</w:t>
      </w:r>
      <w:r>
        <w:rPr>
          <w:rStyle w:val="Style15"/>
        </w:rPr>
        <w:t>,</w:t>
      </w:r>
    </w:p>
    <w:p>
      <w:pPr>
        <w:pStyle w:val="Normal"/>
        <w:rPr/>
      </w:pPr>
      <w:r>
        <w:rPr/>
      </w:r>
    </w:p>
    <w:p>
      <w:pPr>
        <w:pStyle w:val="Normal"/>
        <w:rPr/>
      </w:pPr>
      <w:r>
        <w:rPr>
          <w:rStyle w:val="Style15"/>
        </w:rPr>
        <w:t>где:</w:t>
      </w:r>
    </w:p>
    <w:p>
      <w:pPr>
        <w:pStyle w:val="Normal"/>
        <w:rPr/>
      </w:pPr>
      <w:r>
        <w:rPr>
          <w:rStyle w:val="Style15"/>
        </w:rPr>
        <w:t>ПСЗС</w:t>
      </w:r>
      <w:r>
        <w:rPr>
          <w:rStyle w:val="Style15"/>
          <w:vertAlign w:val="subscript"/>
        </w:rPr>
        <w:t> i</w:t>
      </w:r>
      <w:r>
        <w:rPr>
          <w:rStyle w:val="Style15"/>
        </w:rPr>
        <w:t xml:space="preserve"> - приведенное количество не заключенных на 31 декабря отчетного года соглашений, по которым период времени с даты принятия i-м субъектом Российской Федерации или муниципальным образованием субъекта Российской Федерации решения о заключении соглашения до 31 декабря отчетного года составил более 270 календарных дней (далее - показатель задержки);</w:t>
      </w:r>
    </w:p>
    <w:p>
      <w:pPr>
        <w:pStyle w:val="Normal"/>
        <w:rPr/>
      </w:pPr>
      <w:r>
        <w:rPr>
          <w:rStyle w:val="Style15"/>
        </w:rPr>
        <w:t>ПСДП</w:t>
      </w:r>
      <w:r>
        <w:rPr>
          <w:rStyle w:val="Style15"/>
          <w:vertAlign w:val="subscript"/>
        </w:rPr>
        <w:t> i</w:t>
      </w:r>
      <w:r>
        <w:rPr>
          <w:rStyle w:val="Style15"/>
        </w:rPr>
        <w:t xml:space="preserve"> - приведенное количество соглашений в i-м субъекте Российской Федерации, действие которых было прекращено досрочно в отчетном году (далее - показатель досрочного прекращения).</w:t>
      </w:r>
    </w:p>
    <w:p>
      <w:pPr>
        <w:pStyle w:val="Normal"/>
        <w:rPr/>
      </w:pPr>
      <w:r>
        <w:rPr/>
      </w:r>
    </w:p>
    <w:p>
      <w:pPr>
        <w:pStyle w:val="Normal"/>
        <w:rPr/>
      </w:pPr>
      <w:bookmarkStart w:id="162" w:name="sub_1045"/>
      <w:bookmarkEnd w:id="162"/>
      <w:r>
        <w:rPr>
          <w:rStyle w:val="Style15"/>
        </w:rPr>
        <w:t>45. Показатель задержки (ПСЗС</w:t>
      </w:r>
      <w:r>
        <w:rPr>
          <w:rStyle w:val="Style15"/>
          <w:vertAlign w:val="subscript"/>
        </w:rPr>
        <w:t> i</w:t>
      </w:r>
      <w:r>
        <w:rPr>
          <w:rStyle w:val="Style15"/>
        </w:rPr>
        <w:t>) определяется на основе количества не заключенных на 31 декабря отчетного года концессионных соглашений и соглашений о ГЧП (МЧП), по которым период времени с даты принятия i-м субъектом Российской Федерации или муниципальным образованием субъекта Российской Федерации решения о заключении соглашения до 31 декабря отчетного года составил более 270 календарных дней (СЗС</w:t>
      </w:r>
      <w:r>
        <w:rPr>
          <w:rStyle w:val="Style15"/>
          <w:vertAlign w:val="subscript"/>
        </w:rPr>
        <w:t> i</w:t>
      </w:r>
      <w:r>
        <w:rPr>
          <w:rStyle w:val="Style15"/>
        </w:rPr>
        <w:t>), с использованием следующей таблицы приведения:</w:t>
      </w:r>
    </w:p>
    <w:p>
      <w:pPr>
        <w:pStyle w:val="Normal"/>
        <w:rPr/>
      </w:pPr>
      <w:r>
        <w:rPr/>
      </w:r>
      <w:bookmarkStart w:id="163" w:name="sub_1045_Копия_2"/>
      <w:bookmarkStart w:id="164" w:name="sub_1045_Копия_1"/>
      <w:bookmarkStart w:id="165" w:name="sub_1045_Копия_2"/>
      <w:bookmarkStart w:id="166" w:name="sub_1045_Копия_1"/>
      <w:bookmarkEnd w:id="165"/>
      <w:bookmarkEnd w:id="166"/>
    </w:p>
    <w:tbl>
      <w:tblPr>
        <w:tblW w:w="10142" w:type="dxa"/>
        <w:jc w:val="left"/>
        <w:tblInd w:w="108" w:type="dxa"/>
        <w:tblLayout w:type="fixed"/>
        <w:tblCellMar>
          <w:top w:w="0" w:type="dxa"/>
          <w:left w:w="108" w:type="dxa"/>
          <w:bottom w:w="0" w:type="dxa"/>
          <w:right w:w="108" w:type="dxa"/>
        </w:tblCellMar>
      </w:tblPr>
      <w:tblGrid>
        <w:gridCol w:w="5042"/>
        <w:gridCol w:w="5099"/>
      </w:tblGrid>
      <w:tr>
        <w:trPr/>
        <w:tc>
          <w:tcPr>
            <w:tcW w:w="5042" w:type="dxa"/>
            <w:tcBorders>
              <w:top w:val="single" w:sz="4" w:space="0" w:color="000000"/>
            </w:tcBorders>
          </w:tcPr>
          <w:p>
            <w:pPr>
              <w:pStyle w:val="Style22"/>
              <w:tabs>
                <w:tab w:val="clear" w:pos="720"/>
              </w:tabs>
              <w:bidi w:val="0"/>
              <w:jc w:val="center"/>
              <w:rPr/>
            </w:pPr>
            <w:r>
              <w:rPr/>
              <w:t>Значение СЗС</w:t>
            </w:r>
            <w:r>
              <w:rPr>
                <w:vertAlign w:val="subscript"/>
              </w:rPr>
              <w:t> i</w:t>
            </w:r>
            <w:r>
              <w:rPr/>
              <w:br/>
              <w:t>(ед.)</w:t>
            </w:r>
          </w:p>
        </w:tc>
        <w:tc>
          <w:tcPr>
            <w:tcW w:w="5099" w:type="dxa"/>
            <w:tcBorders>
              <w:top w:val="single" w:sz="4" w:space="0" w:color="000000"/>
              <w:left w:val="single" w:sz="4" w:space="0" w:color="000000"/>
            </w:tcBorders>
          </w:tcPr>
          <w:p>
            <w:pPr>
              <w:pStyle w:val="Style22"/>
              <w:tabs>
                <w:tab w:val="clear" w:pos="720"/>
              </w:tabs>
              <w:bidi w:val="0"/>
              <w:jc w:val="center"/>
              <w:rPr/>
            </w:pPr>
            <w:r>
              <w:rPr/>
              <w:t>Значение ПСЗС</w:t>
            </w:r>
            <w:r>
              <w:rPr>
                <w:vertAlign w:val="subscript"/>
              </w:rPr>
              <w:t> i</w:t>
            </w:r>
            <w:r>
              <w:rPr/>
              <w:t xml:space="preserve"> (баллов)</w:t>
            </w:r>
          </w:p>
        </w:tc>
      </w:tr>
      <w:tr>
        <w:trPr/>
        <w:tc>
          <w:tcPr>
            <w:tcW w:w="5042" w:type="dxa"/>
            <w:tcBorders>
              <w:top w:val="single" w:sz="4" w:space="0" w:color="000000"/>
            </w:tcBorders>
          </w:tcPr>
          <w:p>
            <w:pPr>
              <w:pStyle w:val="Style22"/>
              <w:tabs>
                <w:tab w:val="clear" w:pos="720"/>
              </w:tabs>
              <w:bidi w:val="0"/>
              <w:jc w:val="center"/>
              <w:rPr/>
            </w:pPr>
            <w:r>
              <w:rPr/>
              <w:t>7 и более</w:t>
            </w:r>
          </w:p>
        </w:tc>
        <w:tc>
          <w:tcPr>
            <w:tcW w:w="5099" w:type="dxa"/>
            <w:tcBorders>
              <w:top w:val="single" w:sz="4" w:space="0" w:color="000000"/>
            </w:tcBorders>
          </w:tcPr>
          <w:p>
            <w:pPr>
              <w:pStyle w:val="Style22"/>
              <w:tabs>
                <w:tab w:val="clear" w:pos="720"/>
              </w:tabs>
              <w:bidi w:val="0"/>
              <w:jc w:val="center"/>
              <w:rPr/>
            </w:pPr>
            <w:r>
              <w:rPr/>
              <w:t>0</w:t>
            </w:r>
          </w:p>
        </w:tc>
      </w:tr>
      <w:tr>
        <w:trPr/>
        <w:tc>
          <w:tcPr>
            <w:tcW w:w="5042" w:type="dxa"/>
            <w:tcBorders/>
          </w:tcPr>
          <w:p>
            <w:pPr>
              <w:pStyle w:val="Style22"/>
              <w:tabs>
                <w:tab w:val="clear" w:pos="720"/>
              </w:tabs>
              <w:bidi w:val="0"/>
              <w:jc w:val="center"/>
              <w:rPr/>
            </w:pPr>
            <w:r>
              <w:rPr/>
              <w:t>От 4 до 6</w:t>
            </w:r>
          </w:p>
        </w:tc>
        <w:tc>
          <w:tcPr>
            <w:tcW w:w="5099" w:type="dxa"/>
            <w:tcBorders/>
          </w:tcPr>
          <w:p>
            <w:pPr>
              <w:pStyle w:val="Style22"/>
              <w:tabs>
                <w:tab w:val="clear" w:pos="720"/>
              </w:tabs>
              <w:bidi w:val="0"/>
              <w:jc w:val="center"/>
              <w:rPr/>
            </w:pPr>
            <w:r>
              <w:rPr/>
              <w:t>30</w:t>
            </w:r>
          </w:p>
        </w:tc>
      </w:tr>
      <w:tr>
        <w:trPr/>
        <w:tc>
          <w:tcPr>
            <w:tcW w:w="5042" w:type="dxa"/>
            <w:tcBorders/>
          </w:tcPr>
          <w:p>
            <w:pPr>
              <w:pStyle w:val="Style22"/>
              <w:tabs>
                <w:tab w:val="clear" w:pos="720"/>
              </w:tabs>
              <w:bidi w:val="0"/>
              <w:jc w:val="center"/>
              <w:rPr/>
            </w:pPr>
            <w:r>
              <w:rPr/>
              <w:t>От 1 до 3</w:t>
            </w:r>
          </w:p>
        </w:tc>
        <w:tc>
          <w:tcPr>
            <w:tcW w:w="5099" w:type="dxa"/>
            <w:tcBorders/>
          </w:tcPr>
          <w:p>
            <w:pPr>
              <w:pStyle w:val="Style22"/>
              <w:tabs>
                <w:tab w:val="clear" w:pos="720"/>
              </w:tabs>
              <w:bidi w:val="0"/>
              <w:jc w:val="center"/>
              <w:rPr/>
            </w:pPr>
            <w:r>
              <w:rPr/>
              <w:t>70</w:t>
            </w:r>
          </w:p>
        </w:tc>
      </w:tr>
      <w:tr>
        <w:trPr/>
        <w:tc>
          <w:tcPr>
            <w:tcW w:w="5042" w:type="dxa"/>
            <w:tcBorders/>
          </w:tcPr>
          <w:p>
            <w:pPr>
              <w:pStyle w:val="Style22"/>
              <w:tabs>
                <w:tab w:val="clear" w:pos="720"/>
              </w:tabs>
              <w:bidi w:val="0"/>
              <w:jc w:val="center"/>
              <w:rPr/>
            </w:pPr>
            <w:r>
              <w:rPr/>
              <w:t>0</w:t>
            </w:r>
          </w:p>
        </w:tc>
        <w:tc>
          <w:tcPr>
            <w:tcW w:w="5099" w:type="dxa"/>
            <w:tcBorders/>
          </w:tcPr>
          <w:p>
            <w:pPr>
              <w:pStyle w:val="Style22"/>
              <w:tabs>
                <w:tab w:val="clear" w:pos="720"/>
              </w:tabs>
              <w:bidi w:val="0"/>
              <w:jc w:val="center"/>
              <w:rPr/>
            </w:pPr>
            <w:r>
              <w:rPr/>
              <w:t>100</w:t>
            </w:r>
          </w:p>
        </w:tc>
      </w:tr>
    </w:tbl>
    <w:p>
      <w:pPr>
        <w:pStyle w:val="Normal"/>
        <w:rPr/>
      </w:pPr>
      <w:r>
        <w:rPr/>
      </w:r>
    </w:p>
    <w:p>
      <w:pPr>
        <w:pStyle w:val="Normal"/>
        <w:rPr/>
      </w:pPr>
      <w:bookmarkStart w:id="167" w:name="sub_1046"/>
      <w:bookmarkEnd w:id="167"/>
      <w:r>
        <w:rPr>
          <w:rStyle w:val="Style15"/>
        </w:rPr>
        <w:t>46. При определении количества не заключенных на 31 декабря отчетного года концессионных соглашений и соглашений о ГЧП (МЧП), по которым период времени с даты принятия i-м субъектом Российской Федерации или муниципальным образованием субъекта Российской Федерации решения о заключении соглашения до 31 декабря отчетного года составил более 270 календарных дней (СЗС</w:t>
      </w:r>
      <w:r>
        <w:rPr>
          <w:rStyle w:val="Style15"/>
          <w:vertAlign w:val="subscript"/>
        </w:rPr>
        <w:t> i</w:t>
      </w:r>
      <w:r>
        <w:rPr>
          <w:rStyle w:val="Style15"/>
        </w:rPr>
        <w:t>), не учитываются соответствующие соглашения, в случае если такая задержка произошла не по вине органа власти и при наличии соответствующего документального подтверждения.</w:t>
      </w:r>
    </w:p>
    <w:p>
      <w:pPr>
        <w:pStyle w:val="Normal"/>
        <w:rPr/>
      </w:pPr>
      <w:bookmarkStart w:id="168" w:name="sub_1047_Копия_1"/>
      <w:bookmarkStart w:id="169" w:name="sub_1047"/>
      <w:bookmarkEnd w:id="168"/>
      <w:bookmarkEnd w:id="169"/>
      <w:r>
        <w:rPr>
          <w:rStyle w:val="Style15"/>
        </w:rPr>
        <w:t>47. Показатель досрочного прекращения (ПСДП</w:t>
      </w:r>
      <w:r>
        <w:rPr>
          <w:rStyle w:val="Style15"/>
          <w:vertAlign w:val="subscript"/>
        </w:rPr>
        <w:t> i</w:t>
      </w:r>
      <w:r>
        <w:rPr>
          <w:rStyle w:val="Style15"/>
        </w:rPr>
        <w:t>) определяется на основе количества соглашений в i-м субъекте Российской Федерации, действие которых было прекращено досрочно в отчетном году по вине публичной стороны (СДП</w:t>
      </w:r>
      <w:r>
        <w:rPr>
          <w:rStyle w:val="Style15"/>
          <w:vertAlign w:val="subscript"/>
        </w:rPr>
        <w:t> i</w:t>
      </w:r>
      <w:r>
        <w:rPr>
          <w:rStyle w:val="Style15"/>
        </w:rPr>
        <w:t>), с использованием следующей таблицы приведения:</w:t>
      </w:r>
    </w:p>
    <w:p>
      <w:pPr>
        <w:pStyle w:val="Normal"/>
        <w:rPr/>
      </w:pPr>
      <w:r>
        <w:rPr/>
      </w:r>
      <w:bookmarkStart w:id="170" w:name="sub_1047_Копия_3"/>
      <w:bookmarkStart w:id="171" w:name="sub_1047_Копия_2"/>
      <w:bookmarkStart w:id="172" w:name="sub_1047_Копия_3"/>
      <w:bookmarkStart w:id="173" w:name="sub_1047_Копия_2"/>
      <w:bookmarkEnd w:id="172"/>
      <w:bookmarkEnd w:id="173"/>
    </w:p>
    <w:tbl>
      <w:tblPr>
        <w:tblW w:w="10224" w:type="dxa"/>
        <w:jc w:val="left"/>
        <w:tblInd w:w="108" w:type="dxa"/>
        <w:tblLayout w:type="fixed"/>
        <w:tblCellMar>
          <w:top w:w="0" w:type="dxa"/>
          <w:left w:w="108" w:type="dxa"/>
          <w:bottom w:w="0" w:type="dxa"/>
          <w:right w:w="108" w:type="dxa"/>
        </w:tblCellMar>
      </w:tblPr>
      <w:tblGrid>
        <w:gridCol w:w="5042"/>
        <w:gridCol w:w="5181"/>
      </w:tblGrid>
      <w:tr>
        <w:trPr/>
        <w:tc>
          <w:tcPr>
            <w:tcW w:w="5042" w:type="dxa"/>
            <w:tcBorders>
              <w:top w:val="single" w:sz="4" w:space="0" w:color="000000"/>
            </w:tcBorders>
          </w:tcPr>
          <w:p>
            <w:pPr>
              <w:pStyle w:val="Style22"/>
              <w:tabs>
                <w:tab w:val="clear" w:pos="720"/>
              </w:tabs>
              <w:bidi w:val="0"/>
              <w:jc w:val="center"/>
              <w:rPr/>
            </w:pPr>
            <w:r>
              <w:rPr/>
              <w:t>Значение СДП</w:t>
            </w:r>
            <w:r>
              <w:rPr>
                <w:vertAlign w:val="subscript"/>
              </w:rPr>
              <w:t> i</w:t>
            </w:r>
            <w:r>
              <w:rPr/>
              <w:t xml:space="preserve"> (ед.)</w:t>
            </w:r>
          </w:p>
        </w:tc>
        <w:tc>
          <w:tcPr>
            <w:tcW w:w="5181" w:type="dxa"/>
            <w:tcBorders>
              <w:top w:val="single" w:sz="4" w:space="0" w:color="000000"/>
              <w:left w:val="single" w:sz="4" w:space="0" w:color="000000"/>
            </w:tcBorders>
          </w:tcPr>
          <w:p>
            <w:pPr>
              <w:pStyle w:val="Style22"/>
              <w:tabs>
                <w:tab w:val="clear" w:pos="720"/>
              </w:tabs>
              <w:bidi w:val="0"/>
              <w:jc w:val="center"/>
              <w:rPr/>
            </w:pPr>
            <w:r>
              <w:rPr/>
              <w:t>Значение ПСДП</w:t>
            </w:r>
            <w:r>
              <w:rPr>
                <w:vertAlign w:val="subscript"/>
              </w:rPr>
              <w:t> i</w:t>
            </w:r>
            <w:r>
              <w:rPr/>
              <w:t xml:space="preserve"> (баллов)</w:t>
            </w:r>
          </w:p>
        </w:tc>
      </w:tr>
      <w:tr>
        <w:trPr/>
        <w:tc>
          <w:tcPr>
            <w:tcW w:w="5042" w:type="dxa"/>
            <w:tcBorders>
              <w:top w:val="single" w:sz="4" w:space="0" w:color="000000"/>
            </w:tcBorders>
          </w:tcPr>
          <w:p>
            <w:pPr>
              <w:pStyle w:val="Style22"/>
              <w:tabs>
                <w:tab w:val="clear" w:pos="720"/>
              </w:tabs>
              <w:bidi w:val="0"/>
              <w:jc w:val="center"/>
              <w:rPr/>
            </w:pPr>
            <w:r>
              <w:rPr/>
              <w:t>3 и более</w:t>
            </w:r>
          </w:p>
        </w:tc>
        <w:tc>
          <w:tcPr>
            <w:tcW w:w="5181" w:type="dxa"/>
            <w:tcBorders>
              <w:top w:val="single" w:sz="4" w:space="0" w:color="000000"/>
            </w:tcBorders>
          </w:tcPr>
          <w:p>
            <w:pPr>
              <w:pStyle w:val="Style22"/>
              <w:tabs>
                <w:tab w:val="clear" w:pos="720"/>
              </w:tabs>
              <w:bidi w:val="0"/>
              <w:jc w:val="center"/>
              <w:rPr/>
            </w:pPr>
            <w:r>
              <w:rPr/>
              <w:t>0</w:t>
            </w:r>
          </w:p>
        </w:tc>
      </w:tr>
      <w:tr>
        <w:trPr/>
        <w:tc>
          <w:tcPr>
            <w:tcW w:w="5042" w:type="dxa"/>
            <w:tcBorders/>
          </w:tcPr>
          <w:p>
            <w:pPr>
              <w:pStyle w:val="Style22"/>
              <w:tabs>
                <w:tab w:val="clear" w:pos="720"/>
              </w:tabs>
              <w:bidi w:val="0"/>
              <w:jc w:val="center"/>
              <w:rPr/>
            </w:pPr>
            <w:r>
              <w:rPr/>
              <w:t>2</w:t>
            </w:r>
          </w:p>
        </w:tc>
        <w:tc>
          <w:tcPr>
            <w:tcW w:w="5181" w:type="dxa"/>
            <w:tcBorders/>
          </w:tcPr>
          <w:p>
            <w:pPr>
              <w:pStyle w:val="Style22"/>
              <w:tabs>
                <w:tab w:val="clear" w:pos="720"/>
              </w:tabs>
              <w:bidi w:val="0"/>
              <w:jc w:val="center"/>
              <w:rPr/>
            </w:pPr>
            <w:r>
              <w:rPr/>
              <w:t>30</w:t>
            </w:r>
          </w:p>
        </w:tc>
      </w:tr>
      <w:tr>
        <w:trPr/>
        <w:tc>
          <w:tcPr>
            <w:tcW w:w="5042" w:type="dxa"/>
            <w:tcBorders/>
          </w:tcPr>
          <w:p>
            <w:pPr>
              <w:pStyle w:val="Style22"/>
              <w:tabs>
                <w:tab w:val="clear" w:pos="720"/>
              </w:tabs>
              <w:bidi w:val="0"/>
              <w:jc w:val="center"/>
              <w:rPr/>
            </w:pPr>
            <w:r>
              <w:rPr/>
              <w:t>1</w:t>
            </w:r>
          </w:p>
        </w:tc>
        <w:tc>
          <w:tcPr>
            <w:tcW w:w="5181" w:type="dxa"/>
            <w:tcBorders/>
          </w:tcPr>
          <w:p>
            <w:pPr>
              <w:pStyle w:val="Style22"/>
              <w:tabs>
                <w:tab w:val="clear" w:pos="720"/>
              </w:tabs>
              <w:bidi w:val="0"/>
              <w:jc w:val="center"/>
              <w:rPr/>
            </w:pPr>
            <w:r>
              <w:rPr/>
              <w:t>70</w:t>
            </w:r>
          </w:p>
        </w:tc>
      </w:tr>
      <w:tr>
        <w:trPr/>
        <w:tc>
          <w:tcPr>
            <w:tcW w:w="5042" w:type="dxa"/>
            <w:tcBorders/>
          </w:tcPr>
          <w:p>
            <w:pPr>
              <w:pStyle w:val="Style22"/>
              <w:tabs>
                <w:tab w:val="clear" w:pos="720"/>
              </w:tabs>
              <w:bidi w:val="0"/>
              <w:jc w:val="center"/>
              <w:rPr/>
            </w:pPr>
            <w:r>
              <w:rPr/>
              <w:t>0</w:t>
            </w:r>
          </w:p>
        </w:tc>
        <w:tc>
          <w:tcPr>
            <w:tcW w:w="5181" w:type="dxa"/>
            <w:tcBorders/>
          </w:tcPr>
          <w:p>
            <w:pPr>
              <w:pStyle w:val="Style22"/>
              <w:tabs>
                <w:tab w:val="clear" w:pos="720"/>
              </w:tabs>
              <w:bidi w:val="0"/>
              <w:jc w:val="center"/>
              <w:rPr/>
            </w:pPr>
            <w:r>
              <w:rPr/>
              <w:t>100</w:t>
            </w:r>
          </w:p>
        </w:tc>
      </w:tr>
    </w:tbl>
    <w:p>
      <w:pPr>
        <w:pStyle w:val="Normal"/>
        <w:rPr/>
      </w:pPr>
      <w:r>
        <w:rPr/>
      </w:r>
    </w:p>
    <w:p>
      <w:pPr>
        <w:pStyle w:val="Normal"/>
        <w:rPr/>
      </w:pPr>
      <w:bookmarkStart w:id="174" w:name="sub_1048"/>
      <w:bookmarkEnd w:id="174"/>
      <w:r>
        <w:rPr>
          <w:rStyle w:val="Style15"/>
        </w:rPr>
        <w:t>48. Показатели СЗС</w:t>
      </w:r>
      <w:r>
        <w:rPr>
          <w:rStyle w:val="Style15"/>
          <w:vertAlign w:val="subscript"/>
        </w:rPr>
        <w:t> i</w:t>
      </w:r>
      <w:r>
        <w:rPr>
          <w:rStyle w:val="Style15"/>
        </w:rPr>
        <w:t xml:space="preserve"> и СДП</w:t>
      </w:r>
      <w:r>
        <w:rPr>
          <w:rStyle w:val="Style15"/>
          <w:vertAlign w:val="subscript"/>
        </w:rPr>
        <w:t> i</w:t>
      </w:r>
      <w:r>
        <w:rPr>
          <w:rStyle w:val="Style15"/>
        </w:rPr>
        <w:t xml:space="preserve"> определяются на основании сведений о соглашениях, внесенных в модуль ГЧП в ГАС "Управление".</w:t>
      </w:r>
    </w:p>
    <w:p>
      <w:pPr>
        <w:pStyle w:val="Normal"/>
        <w:rPr/>
      </w:pPr>
      <w:bookmarkStart w:id="175" w:name="sub_1049_Копия_1"/>
      <w:bookmarkStart w:id="176" w:name="sub_1049"/>
      <w:bookmarkEnd w:id="175"/>
      <w:bookmarkEnd w:id="176"/>
      <w:r>
        <w:rPr>
          <w:rStyle w:val="Style15"/>
        </w:rPr>
        <w:t>49. Показатель обеспеченности (ООгчп</w:t>
      </w:r>
      <w:r>
        <w:rPr>
          <w:rStyle w:val="Style15"/>
          <w:vertAlign w:val="subscript"/>
        </w:rPr>
        <w:t> i</w:t>
      </w:r>
      <w:r>
        <w:rPr>
          <w:rStyle w:val="Style15"/>
        </w:rPr>
        <w:t>) для i-го субъекта Российской Федерации определяется по формуле:</w:t>
      </w:r>
    </w:p>
    <w:p>
      <w:pPr>
        <w:pStyle w:val="Normal"/>
        <w:rPr/>
      </w:pPr>
      <w:r>
        <w:rPr/>
      </w:r>
      <w:bookmarkStart w:id="177" w:name="sub_1049_Копия_3"/>
      <w:bookmarkStart w:id="178" w:name="sub_1049_Копия_2"/>
      <w:bookmarkStart w:id="179" w:name="sub_1049_Копия_3"/>
      <w:bookmarkStart w:id="180" w:name="sub_1049_Копия_2"/>
      <w:bookmarkEnd w:id="179"/>
      <w:bookmarkEnd w:id="180"/>
    </w:p>
    <w:p>
      <w:pPr>
        <w:pStyle w:val="Normal"/>
        <w:ind w:firstLine="698"/>
        <w:jc w:val="center"/>
        <w:rPr/>
      </w:pPr>
      <w:r>
        <w:rPr>
          <w:rStyle w:val="Style15"/>
        </w:rPr>
        <w:t>ООгчп</w:t>
      </w:r>
      <w:r>
        <w:rPr>
          <w:rStyle w:val="Style15"/>
          <w:vertAlign w:val="subscript"/>
        </w:rPr>
        <w:t> i</w:t>
      </w:r>
      <w:r>
        <w:rPr>
          <w:rStyle w:val="Style15"/>
        </w:rPr>
        <w:t>=0,30</w:t>
      </w:r>
      <w:r>
        <w:rPr/>
        <w:drawing>
          <wp:inline distT="0" distB="0" distL="0" distR="0">
            <wp:extent cx="110490" cy="211455"/>
            <wp:effectExtent l="0" t="0" r="0" b="0"/>
            <wp:docPr id="22"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2" descr=""/>
                    <pic:cNvPicPr>
                      <a:picLocks noChangeAspect="1" noChangeArrowheads="1"/>
                    </pic:cNvPicPr>
                  </pic:nvPicPr>
                  <pic:blipFill>
                    <a:blip r:embed="rId92"/>
                    <a:stretch>
                      <a:fillRect/>
                    </a:stretch>
                  </pic:blipFill>
                  <pic:spPr bwMode="auto">
                    <a:xfrm>
                      <a:off x="0" y="0"/>
                      <a:ext cx="110490" cy="211455"/>
                    </a:xfrm>
                    <a:prstGeom prst="rect">
                      <a:avLst/>
                    </a:prstGeom>
                  </pic:spPr>
                </pic:pic>
              </a:graphicData>
            </a:graphic>
          </wp:inline>
        </w:drawing>
      </w:r>
      <w:r>
        <w:rPr>
          <w:rStyle w:val="Style15"/>
        </w:rPr>
        <w:t>ППР</w:t>
      </w:r>
      <w:r>
        <w:rPr>
          <w:rStyle w:val="Style15"/>
          <w:vertAlign w:val="subscript"/>
        </w:rPr>
        <w:t> i</w:t>
      </w:r>
      <w:r>
        <w:rPr>
          <w:rStyle w:val="Style15"/>
        </w:rPr>
        <w:t>+0,30</w:t>
      </w:r>
      <w:r>
        <w:rPr/>
        <w:drawing>
          <wp:inline distT="0" distB="0" distL="0" distR="0">
            <wp:extent cx="110490" cy="211455"/>
            <wp:effectExtent l="0" t="0" r="0" b="0"/>
            <wp:docPr id="23"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3" descr=""/>
                    <pic:cNvPicPr>
                      <a:picLocks noChangeAspect="1" noChangeArrowheads="1"/>
                    </pic:cNvPicPr>
                  </pic:nvPicPr>
                  <pic:blipFill>
                    <a:blip r:embed="rId93"/>
                    <a:stretch>
                      <a:fillRect/>
                    </a:stretch>
                  </pic:blipFill>
                  <pic:spPr bwMode="auto">
                    <a:xfrm>
                      <a:off x="0" y="0"/>
                      <a:ext cx="110490" cy="211455"/>
                    </a:xfrm>
                    <a:prstGeom prst="rect">
                      <a:avLst/>
                    </a:prstGeom>
                  </pic:spPr>
                </pic:pic>
              </a:graphicData>
            </a:graphic>
          </wp:inline>
        </w:drawing>
      </w:r>
      <w:r>
        <w:rPr>
          <w:rStyle w:val="Style15"/>
        </w:rPr>
        <w:t>ПМП</w:t>
      </w:r>
      <w:r>
        <w:rPr>
          <w:rStyle w:val="Style15"/>
          <w:vertAlign w:val="subscript"/>
        </w:rPr>
        <w:t> i</w:t>
      </w:r>
      <w:r>
        <w:rPr>
          <w:rStyle w:val="Style15"/>
        </w:rPr>
        <w:t>+0,40</w:t>
      </w:r>
      <w:r>
        <w:rPr/>
        <w:drawing>
          <wp:inline distT="0" distB="0" distL="0" distR="0">
            <wp:extent cx="110490" cy="211455"/>
            <wp:effectExtent l="0" t="0" r="0" b="0"/>
            <wp:docPr id="24"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4" descr=""/>
                    <pic:cNvPicPr>
                      <a:picLocks noChangeAspect="1" noChangeArrowheads="1"/>
                    </pic:cNvPicPr>
                  </pic:nvPicPr>
                  <pic:blipFill>
                    <a:blip r:embed="rId94"/>
                    <a:stretch>
                      <a:fillRect/>
                    </a:stretch>
                  </pic:blipFill>
                  <pic:spPr bwMode="auto">
                    <a:xfrm>
                      <a:off x="0" y="0"/>
                      <a:ext cx="110490" cy="211455"/>
                    </a:xfrm>
                    <a:prstGeom prst="rect">
                      <a:avLst/>
                    </a:prstGeom>
                  </pic:spPr>
                </pic:pic>
              </a:graphicData>
            </a:graphic>
          </wp:inline>
        </w:drawing>
      </w:r>
      <w:r>
        <w:rPr>
          <w:rStyle w:val="Style15"/>
        </w:rPr>
        <w:t>ПКС</w:t>
      </w:r>
      <w:r>
        <w:rPr>
          <w:rStyle w:val="Style15"/>
          <w:vertAlign w:val="subscript"/>
        </w:rPr>
        <w:t> i</w:t>
      </w:r>
      <w:r>
        <w:rPr>
          <w:rStyle w:val="Style15"/>
        </w:rPr>
        <w:t>,</w:t>
      </w:r>
    </w:p>
    <w:p>
      <w:pPr>
        <w:pStyle w:val="Normal"/>
        <w:rPr/>
      </w:pPr>
      <w:r>
        <w:rPr/>
      </w:r>
    </w:p>
    <w:p>
      <w:pPr>
        <w:pStyle w:val="Normal"/>
        <w:rPr/>
      </w:pPr>
      <w:r>
        <w:rPr>
          <w:rStyle w:val="Style15"/>
        </w:rPr>
        <w:t>где:</w:t>
      </w:r>
    </w:p>
    <w:p>
      <w:pPr>
        <w:pStyle w:val="Normal"/>
        <w:rPr/>
      </w:pPr>
      <w:r>
        <w:rPr>
          <w:rStyle w:val="Style15"/>
        </w:rPr>
        <w:t>ППР</w:t>
      </w:r>
      <w:r>
        <w:rPr>
          <w:rStyle w:val="Style15"/>
          <w:vertAlign w:val="subscript"/>
        </w:rPr>
        <w:t> i</w:t>
      </w:r>
      <w:r>
        <w:rPr>
          <w:rStyle w:val="Style15"/>
        </w:rPr>
        <w:t xml:space="preserve"> - показатель, характеризующий наличие и эффективность утвержденного высшим исполнительным органом i-го субъекта Российской Федерации порядка принятия решения о заключении концессионных соглашений, соглашений о ГЧП, МЧП на срок, превышающий срок действия утвержденных лимитов бюджетных обязательств;</w:t>
      </w:r>
    </w:p>
    <w:p>
      <w:pPr>
        <w:pStyle w:val="Normal"/>
        <w:rPr/>
      </w:pPr>
      <w:r>
        <w:rPr>
          <w:rStyle w:val="Style15"/>
        </w:rPr>
        <w:t>ПМП</w:t>
      </w:r>
      <w:r>
        <w:rPr>
          <w:rStyle w:val="Style15"/>
          <w:vertAlign w:val="subscript"/>
        </w:rPr>
        <w:t> i</w:t>
      </w:r>
      <w:r>
        <w:rPr>
          <w:rStyle w:val="Style15"/>
        </w:rPr>
        <w:t xml:space="preserve"> - показатель, характеризующий наличие и эффективность мер поддержки проектов ГЧП, реализуемых в рамках концессионных соглашений, соглашений о ГЧП, МЧП в государственных программах i-го субъекта Российской Федерации;</w:t>
      </w:r>
    </w:p>
    <w:p>
      <w:pPr>
        <w:pStyle w:val="Normal"/>
        <w:rPr/>
      </w:pPr>
      <w:r>
        <w:rPr>
          <w:rStyle w:val="Style15"/>
        </w:rPr>
        <w:t>ПКС</w:t>
      </w:r>
      <w:r>
        <w:rPr>
          <w:rStyle w:val="Style15"/>
          <w:vertAlign w:val="subscript"/>
        </w:rPr>
        <w:t> i</w:t>
      </w:r>
      <w:r>
        <w:rPr>
          <w:rStyle w:val="Style15"/>
        </w:rPr>
        <w:t xml:space="preserve"> - показатель, характеризующий наличие квалифицированной институциональной среды i-го субъекта Российской Федерации.</w:t>
      </w:r>
    </w:p>
    <w:p>
      <w:pPr>
        <w:pStyle w:val="Normal"/>
        <w:rPr/>
      </w:pPr>
      <w:r>
        <w:rPr/>
      </w:r>
    </w:p>
    <w:p>
      <w:pPr>
        <w:pStyle w:val="Normal"/>
        <w:rPr/>
      </w:pPr>
      <w:bookmarkStart w:id="181" w:name="sub_1050"/>
      <w:bookmarkEnd w:id="181"/>
      <w:r>
        <w:rPr>
          <w:rStyle w:val="Style15"/>
        </w:rPr>
        <w:t>50. Показатель, характеризующий наличие и эффективность утвержденного высшим исполнительным органом i-го субъекта Российской Федерации порядка принятия решения о заключении концессионных соглашений, соглашений о ГЧП, МЧП на срок, превышающий срок действия утвержденных лимитов бюджетных обязательств (ППР</w:t>
      </w:r>
      <w:r>
        <w:rPr>
          <w:rStyle w:val="Style15"/>
          <w:vertAlign w:val="subscript"/>
        </w:rPr>
        <w:t> i</w:t>
      </w:r>
      <w:r>
        <w:rPr>
          <w:rStyle w:val="Style15"/>
        </w:rPr>
        <w:t>), определяется на основании оценок экспертных организаций.</w:t>
      </w:r>
    </w:p>
    <w:p>
      <w:pPr>
        <w:pStyle w:val="Normal"/>
        <w:rPr/>
      </w:pPr>
      <w:bookmarkStart w:id="182" w:name="sub_1050_Копия_1"/>
      <w:bookmarkEnd w:id="182"/>
      <w:r>
        <w:rPr>
          <w:rStyle w:val="Style15"/>
        </w:rPr>
        <w:t>При оценке показателя ППР</w:t>
      </w:r>
      <w:r>
        <w:rPr>
          <w:rStyle w:val="Style15"/>
          <w:vertAlign w:val="subscript"/>
        </w:rPr>
        <w:t> i</w:t>
      </w:r>
      <w:r>
        <w:rPr>
          <w:rStyle w:val="Style15"/>
        </w:rPr>
        <w:t xml:space="preserve"> экспертные организации указывают балльную оценку для i-го субъекта Российской Федерации в диапазоне от 0 до 100.</w:t>
      </w:r>
    </w:p>
    <w:p>
      <w:pPr>
        <w:pStyle w:val="Normal"/>
        <w:rPr/>
      </w:pPr>
      <w:r>
        <w:rPr>
          <w:rStyle w:val="Style15"/>
        </w:rPr>
        <w:t>В случае наличия утвержденного высшим исполнительным органом i-го субъекта Российской Федерации порядка принятия решения о предоставлении бюджетных ассигнований по концессионным соглашениям, соглашениям о ГЧП, МЧП на срок, превышающий срок действия лимитов бюджетных обязательств, значения оценок экспертных организаций по показателю ППР</w:t>
      </w:r>
      <w:r>
        <w:rPr>
          <w:rStyle w:val="Style15"/>
          <w:vertAlign w:val="subscript"/>
        </w:rPr>
        <w:t> i</w:t>
      </w:r>
      <w:r>
        <w:rPr>
          <w:rStyle w:val="Style15"/>
        </w:rPr>
        <w:t xml:space="preserve"> не могут составлять менее 50 баллов.</w:t>
      </w:r>
    </w:p>
    <w:p>
      <w:pPr>
        <w:pStyle w:val="Normal"/>
        <w:rPr/>
      </w:pPr>
      <w:r>
        <w:rPr>
          <w:rStyle w:val="Style15"/>
        </w:rPr>
        <w:t>Значение показателя ППР</w:t>
      </w:r>
      <w:r>
        <w:rPr>
          <w:rStyle w:val="Style15"/>
          <w:vertAlign w:val="subscript"/>
        </w:rPr>
        <w:t> i</w:t>
      </w:r>
      <w:r>
        <w:rPr>
          <w:rStyle w:val="Style15"/>
        </w:rPr>
        <w:t xml:space="preserve"> определяется как среднее арифметическое простое из представленных оценок экспертных организаций без учета наибольшей и наименьшей из таких оценок.</w:t>
      </w:r>
    </w:p>
    <w:p>
      <w:pPr>
        <w:pStyle w:val="Normal"/>
        <w:rPr/>
      </w:pPr>
      <w:bookmarkStart w:id="183" w:name="sub_1051"/>
      <w:bookmarkEnd w:id="183"/>
      <w:r>
        <w:rPr>
          <w:rStyle w:val="Style15"/>
        </w:rPr>
        <w:t>51. Показатель, характеризующий наличие и эффективность мер поддержки проектов ГЧП, реализуемых в рамках концессионных соглашений, соглашений о ГЧП, МЧП в государственных программах i-го субъекта Российской Федерации (ПМП</w:t>
      </w:r>
      <w:r>
        <w:rPr>
          <w:rStyle w:val="Style15"/>
          <w:vertAlign w:val="subscript"/>
        </w:rPr>
        <w:t> i</w:t>
      </w:r>
      <w:r>
        <w:rPr>
          <w:rStyle w:val="Style15"/>
        </w:rPr>
        <w:t>), определяется на основании оценок экспертных организаций.</w:t>
      </w:r>
    </w:p>
    <w:p>
      <w:pPr>
        <w:pStyle w:val="Normal"/>
        <w:rPr/>
      </w:pPr>
      <w:bookmarkStart w:id="184" w:name="sub_1051_Копия_1"/>
      <w:bookmarkEnd w:id="184"/>
      <w:r>
        <w:rPr>
          <w:rStyle w:val="Style15"/>
        </w:rPr>
        <w:t>При оценке показателя ПМП</w:t>
      </w:r>
      <w:r>
        <w:rPr>
          <w:rStyle w:val="Style15"/>
          <w:vertAlign w:val="subscript"/>
        </w:rPr>
        <w:t> i</w:t>
      </w:r>
      <w:r>
        <w:rPr>
          <w:rStyle w:val="Style15"/>
        </w:rPr>
        <w:t xml:space="preserve"> экспертные организации указывают балльную оценку для i-го субъекта Российской Федерации в диапазоне от 0 до 100.</w:t>
      </w:r>
    </w:p>
    <w:p>
      <w:pPr>
        <w:pStyle w:val="Normal"/>
        <w:rPr/>
      </w:pPr>
      <w:r>
        <w:rPr>
          <w:rStyle w:val="Style15"/>
        </w:rPr>
        <w:t>В случае наличия не менее чем в трех государственных программах субъекта Российской Федерации мер бюджетной поддержки проектов ГЧП, реализуемых в рамках концессионных соглашений, соглашений о ГЧП (МЧП), в отношении которых в нормативных правовых актах i-го субъекта Российской Федерации установлены размер такой поддержки и правила ее предоставления, значения оценок экспертных организаций по показателю ПМП</w:t>
      </w:r>
      <w:r>
        <w:rPr>
          <w:rStyle w:val="Style15"/>
          <w:vertAlign w:val="subscript"/>
        </w:rPr>
        <w:t> i</w:t>
      </w:r>
      <w:r>
        <w:rPr>
          <w:rStyle w:val="Style15"/>
        </w:rPr>
        <w:t xml:space="preserve"> не могут составлять менее 50 баллов.</w:t>
      </w:r>
    </w:p>
    <w:p>
      <w:pPr>
        <w:pStyle w:val="Normal"/>
        <w:rPr/>
      </w:pPr>
      <w:r>
        <w:rPr>
          <w:rStyle w:val="Style15"/>
        </w:rPr>
        <w:t>Значение показателя ПМП</w:t>
      </w:r>
      <w:r>
        <w:rPr>
          <w:rStyle w:val="Style15"/>
          <w:vertAlign w:val="subscript"/>
        </w:rPr>
        <w:t> i</w:t>
      </w:r>
      <w:r>
        <w:rPr>
          <w:rStyle w:val="Style15"/>
        </w:rPr>
        <w:t xml:space="preserve"> определяется как среднее арифметическое простое из представленных оценок экспертных организаций без учета наибольшей и наименьшей из таких оценок.</w:t>
      </w:r>
    </w:p>
    <w:p>
      <w:pPr>
        <w:pStyle w:val="Normal"/>
        <w:rPr/>
      </w:pPr>
      <w:bookmarkStart w:id="185" w:name="sub_1052"/>
      <w:bookmarkEnd w:id="185"/>
      <w:r>
        <w:rPr>
          <w:rStyle w:val="Style15"/>
        </w:rPr>
        <w:t>52. Показатель, характеризующий наличие квалифицированной институциональной среды i-го субъекта Российской Федерации (ПКС</w:t>
      </w:r>
      <w:r>
        <w:rPr>
          <w:rStyle w:val="Style15"/>
          <w:vertAlign w:val="subscript"/>
        </w:rPr>
        <w:t> i</w:t>
      </w:r>
      <w:r>
        <w:rPr>
          <w:rStyle w:val="Style15"/>
        </w:rPr>
        <w:t>), определяется для i-го субъекта Российской Федерации с входящими в него муниципальными образованиями на основании оценок экспертных организаций с учетом следующих характеристик:</w:t>
      </w:r>
    </w:p>
    <w:p>
      <w:pPr>
        <w:pStyle w:val="Normal"/>
        <w:rPr/>
      </w:pPr>
      <w:bookmarkStart w:id="186" w:name="sub_1052_Копия_1"/>
      <w:bookmarkEnd w:id="186"/>
      <w:r>
        <w:rPr>
          <w:rStyle w:val="Style15"/>
        </w:rPr>
        <w:t>наличие и компетентность специалистов органов власти, ответственных за реализацию полномочий в сфере государственно-частного партнерства;</w:t>
      </w:r>
    </w:p>
    <w:p>
      <w:pPr>
        <w:pStyle w:val="Normal"/>
        <w:rPr/>
      </w:pPr>
      <w:r>
        <w:rPr>
          <w:rStyle w:val="Style15"/>
        </w:rPr>
        <w:t>наличие и эффективность работы специализированной организации в сфере структурирования и сопровождения проектов ГЧП.</w:t>
      </w:r>
    </w:p>
    <w:p>
      <w:pPr>
        <w:pStyle w:val="Normal"/>
        <w:rPr/>
      </w:pPr>
      <w:r>
        <w:rPr>
          <w:rStyle w:val="Style15"/>
        </w:rPr>
        <w:t>При оценке показателя ПКС</w:t>
      </w:r>
      <w:r>
        <w:rPr>
          <w:rStyle w:val="Style15"/>
          <w:vertAlign w:val="subscript"/>
        </w:rPr>
        <w:t> i</w:t>
      </w:r>
      <w:r>
        <w:rPr>
          <w:rStyle w:val="Style15"/>
        </w:rPr>
        <w:t xml:space="preserve"> экспертные организации указывают балльную оценку для i-го субъекта Российской Федерации в диапазоне от 0 до 100.</w:t>
      </w:r>
    </w:p>
    <w:p>
      <w:pPr>
        <w:pStyle w:val="Normal"/>
        <w:rPr/>
      </w:pPr>
      <w:r>
        <w:rPr>
          <w:rStyle w:val="Style15"/>
        </w:rPr>
        <w:t>Значение показателя ПКС; определяется как среднее арифметическое простое из представленных оценок экспертных организаций без учета наибольшей и наименьшей из таких оценок.</w:t>
      </w:r>
    </w:p>
    <w:p>
      <w:pPr>
        <w:pStyle w:val="Normal"/>
        <w:rPr/>
      </w:pPr>
      <w:r>
        <w:rPr/>
      </w:r>
    </w:p>
    <w:p>
      <w:pPr>
        <w:pStyle w:val="Normal"/>
        <w:ind w:firstLine="698"/>
        <w:jc w:val="right"/>
        <w:rPr/>
      </w:pPr>
      <w:bookmarkStart w:id="187" w:name="sub_11000"/>
      <w:bookmarkEnd w:id="187"/>
      <w:r>
        <w:rPr>
          <w:rStyle w:val="Style14"/>
          <w:rFonts w:eastAsia="Symbol" w:cs="Wingdings"/>
        </w:rPr>
        <w:t>Приложение N 1</w:t>
        <w:br/>
        <w:t xml:space="preserve">к </w:t>
      </w:r>
      <w:hyperlink w:anchor="sub_1000">
        <w:r>
          <w:rPr>
            <w:rStyle w:val="ListLabel5"/>
            <w:rFonts w:ascii="Times New Roman" w:hAnsi="Times New Roman"/>
            <w:b w:val="false"/>
            <w:color w:val="106BBE"/>
          </w:rPr>
          <w:t>Методике</w:t>
        </w:r>
      </w:hyperlink>
      <w:r>
        <w:rPr>
          <w:rStyle w:val="Style14"/>
          <w:rFonts w:eastAsia="Symbol" w:cs="Wingdings"/>
        </w:rPr>
        <w:t xml:space="preserve"> расчета показателя</w:t>
        <w:br/>
        <w:t>"Уровень развития сферы</w:t>
        <w:br/>
        <w:t>государственно-частного партнерства</w:t>
        <w:br/>
        <w:t>в субъекте Российской Федерации"</w:t>
        <w:br/>
        <w:t>за 2020 и последующие годы,</w:t>
        <w:br/>
        <w:t xml:space="preserve">утвержденной </w:t>
      </w:r>
      <w:hyperlink w:anchor="sub_0">
        <w:r>
          <w:rPr>
            <w:rStyle w:val="ListLabel5"/>
            <w:rFonts w:ascii="Times New Roman" w:hAnsi="Times New Roman"/>
            <w:b w:val="false"/>
            <w:color w:val="106BBE"/>
          </w:rPr>
          <w:t>приказом</w:t>
        </w:r>
      </w:hyperlink>
      <w:r>
        <w:rPr>
          <w:rStyle w:val="Style14"/>
          <w:rFonts w:eastAsia="Symbol" w:cs="Wingdings"/>
        </w:rPr>
        <w:br/>
        <w:t>Минэкономразвития России</w:t>
        <w:br/>
        <w:t>от 19.12.2019 г. N 816</w:t>
      </w:r>
    </w:p>
    <w:p>
      <w:pPr>
        <w:pStyle w:val="Normal"/>
        <w:rPr/>
      </w:pPr>
      <w:r>
        <w:rPr/>
      </w:r>
      <w:bookmarkStart w:id="188" w:name="sub_11000_Копия_2"/>
      <w:bookmarkStart w:id="189" w:name="sub_11000_Копия_1"/>
      <w:bookmarkStart w:id="190" w:name="sub_11000_Копия_2"/>
      <w:bookmarkStart w:id="191" w:name="sub_11000_Копия_1"/>
      <w:bookmarkEnd w:id="190"/>
      <w:bookmarkEnd w:id="191"/>
    </w:p>
    <w:p>
      <w:pPr>
        <w:pStyle w:val="Heading1"/>
        <w:bidi w:val="0"/>
        <w:rPr/>
      </w:pPr>
      <w:r>
        <w:rPr/>
        <w:t>Перечень</w:t>
        <w:br/>
        <w:t>основных и иных форм государственно-частного партнерства, учитываемых при расчете показателя "Уровень развития сферы государственно-частного партнерства в субъекте Российской Федерации"</w:t>
      </w:r>
    </w:p>
    <w:p>
      <w:pPr>
        <w:pStyle w:val="Style26"/>
        <w:bidi w:val="0"/>
        <w:rPr/>
      </w:pPr>
      <w:r>
        <w:rPr/>
        <w:t>С изменениями и дополнениями от:</w:t>
      </w:r>
    </w:p>
    <w:p>
      <w:pPr>
        <w:pStyle w:val="Style24"/>
        <w:bidi w:val="0"/>
        <w:rPr/>
      </w:pPr>
      <w:r>
        <w:rPr/>
        <w:t xml:space="preserve"> </w:t>
      </w:r>
      <w:r>
        <w:rPr>
          <w:shd w:fill="EAEFED" w:val="clear"/>
        </w:rPr>
        <w:t>5 августа 2021 г., 27 декабря 2023 г.</w:t>
      </w:r>
    </w:p>
    <w:p>
      <w:pPr>
        <w:pStyle w:val="Normal"/>
        <w:rPr/>
      </w:pPr>
      <w:r>
        <w:rPr/>
      </w:r>
    </w:p>
    <w:p>
      <w:pPr>
        <w:pStyle w:val="Normal"/>
        <w:rPr/>
      </w:pPr>
      <w:bookmarkStart w:id="192" w:name="sub_11001"/>
      <w:bookmarkEnd w:id="192"/>
      <w:r>
        <w:rPr>
          <w:rStyle w:val="Style15"/>
        </w:rPr>
        <w:t>1. К основным формам государственно-частного партнерства для целей расчета значения показателя "Уровень развития сферы государственно-частного партнерства в субъекте Российской Федерации" относятся:</w:t>
      </w:r>
    </w:p>
    <w:p>
      <w:pPr>
        <w:pStyle w:val="Normal"/>
        <w:rPr/>
      </w:pPr>
      <w:bookmarkStart w:id="193" w:name="sub_11011_Копия_1"/>
      <w:bookmarkStart w:id="194" w:name="sub_11011"/>
      <w:bookmarkEnd w:id="193"/>
      <w:bookmarkEnd w:id="194"/>
      <w:r>
        <w:rPr>
          <w:rStyle w:val="Style15"/>
        </w:rPr>
        <w:t xml:space="preserve">а) концессионное соглашение (заключаемое в соответствии с </w:t>
      </w:r>
      <w:hyperlink r:id="rId95">
        <w:r>
          <w:rPr>
            <w:rStyle w:val="ListLabel5"/>
            <w:rFonts w:ascii="Times New Roman" w:hAnsi="Times New Roman"/>
            <w:b w:val="false"/>
            <w:color w:val="106BBE"/>
          </w:rPr>
          <w:t>Федеральным законом</w:t>
        </w:r>
      </w:hyperlink>
      <w:r>
        <w:rPr>
          <w:rStyle w:val="Style15"/>
        </w:rPr>
        <w:t xml:space="preserve"> от 21 июля 2005 г. N 115-ФЗ "О концессионных соглашениях");</w:t>
      </w:r>
    </w:p>
    <w:p>
      <w:pPr>
        <w:pStyle w:val="Normal"/>
        <w:rPr/>
      </w:pPr>
      <w:bookmarkStart w:id="195" w:name="sub_11012_Копия_1"/>
      <w:bookmarkStart w:id="196" w:name="sub_11012"/>
      <w:bookmarkEnd w:id="195"/>
      <w:bookmarkEnd w:id="196"/>
      <w:r>
        <w:rPr>
          <w:rStyle w:val="Style15"/>
        </w:rPr>
        <w:t xml:space="preserve">б) соглашение о государственно-частном, муниципально-частном партнерстве (заключаемое в соответствии с </w:t>
      </w:r>
      <w:hyperlink r:id="rId96">
        <w:r>
          <w:rPr>
            <w:rStyle w:val="ListLabel5"/>
            <w:rFonts w:ascii="Times New Roman" w:hAnsi="Times New Roman"/>
            <w:b w:val="false"/>
            <w:color w:val="106BBE"/>
          </w:rPr>
          <w:t>Федеральным законом</w:t>
        </w:r>
      </w:hyperlink>
      <w:r>
        <w:rPr>
          <w:rStyle w:val="Style15"/>
        </w:rPr>
        <w:t xml:space="preserve">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Закон N 224-ФЗ);</w:t>
      </w:r>
    </w:p>
    <w:p>
      <w:pPr>
        <w:pStyle w:val="Normal"/>
        <w:rPr/>
      </w:pPr>
      <w:bookmarkStart w:id="197" w:name="sub_11013_Копия_1"/>
      <w:bookmarkStart w:id="198" w:name="sub_11013"/>
      <w:bookmarkEnd w:id="197"/>
      <w:bookmarkEnd w:id="198"/>
      <w:r>
        <w:rPr>
          <w:rStyle w:val="Style15"/>
        </w:rPr>
        <w:t xml:space="preserve">в) соглашение о государственно-частном, муниципально-частном партнерстве (заключенное в соответствии с законодательством субъекта Российской Федерации до вступления в силу </w:t>
      </w:r>
      <w:hyperlink r:id="rId97">
        <w:r>
          <w:rPr>
            <w:rStyle w:val="ListLabel5"/>
            <w:rFonts w:ascii="Times New Roman" w:hAnsi="Times New Roman"/>
            <w:b w:val="false"/>
            <w:color w:val="106BBE"/>
          </w:rPr>
          <w:t>Закона</w:t>
        </w:r>
      </w:hyperlink>
      <w:r>
        <w:rPr>
          <w:rStyle w:val="Style15"/>
        </w:rPr>
        <w:t xml:space="preserve"> N 224-ФЗ), соответствующее условиям, предусмотренным в </w:t>
      </w:r>
      <w:hyperlink w:anchor="sub_11029">
        <w:r>
          <w:rPr>
            <w:rStyle w:val="ListLabel5"/>
            <w:rFonts w:ascii="Times New Roman" w:hAnsi="Times New Roman"/>
            <w:b w:val="false"/>
            <w:color w:val="106BBE"/>
          </w:rPr>
          <w:t>подпункте "и" пункта 2</w:t>
        </w:r>
      </w:hyperlink>
      <w:r>
        <w:rPr>
          <w:rStyle w:val="Style15"/>
        </w:rPr>
        <w:t xml:space="preserve"> настоящего приложения.</w:t>
      </w:r>
    </w:p>
    <w:p>
      <w:pPr>
        <w:pStyle w:val="Normal"/>
        <w:rPr/>
      </w:pPr>
      <w:bookmarkStart w:id="199" w:name="sub_11002_Копия_1"/>
      <w:bookmarkStart w:id="200" w:name="sub_11002"/>
      <w:bookmarkEnd w:id="199"/>
      <w:bookmarkEnd w:id="200"/>
      <w:r>
        <w:rPr>
          <w:rStyle w:val="Style15"/>
        </w:rPr>
        <w:t>2. К иным формам государственно-частного партнерства относятся:</w:t>
      </w:r>
    </w:p>
    <w:p>
      <w:pPr>
        <w:pStyle w:val="Normal"/>
        <w:rPr/>
      </w:pPr>
      <w:bookmarkStart w:id="201" w:name="sub_11021_Копия_1"/>
      <w:bookmarkStart w:id="202" w:name="sub_11021"/>
      <w:bookmarkEnd w:id="201"/>
      <w:bookmarkEnd w:id="202"/>
      <w:r>
        <w:rPr>
          <w:rStyle w:val="Style15"/>
        </w:rPr>
        <w:t xml:space="preserve">а) контракт жизненного цикла (заключаемый в соответствии с </w:t>
      </w:r>
      <w:hyperlink r:id="rId98">
        <w:r>
          <w:rPr>
            <w:rStyle w:val="ListLabel5"/>
            <w:rFonts w:ascii="Times New Roman" w:hAnsi="Times New Roman"/>
            <w:b w:val="false"/>
            <w:color w:val="106BBE"/>
          </w:rPr>
          <w:t>Федеральным законом</w:t>
        </w:r>
      </w:hyperlink>
      <w:r>
        <w:rPr>
          <w:rStyle w:val="Style15"/>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pPr>
        <w:pStyle w:val="Normal"/>
        <w:rPr/>
      </w:pPr>
      <w:bookmarkStart w:id="203" w:name="sub_11022_Копия_1"/>
      <w:bookmarkStart w:id="204" w:name="sub_11022"/>
      <w:bookmarkEnd w:id="203"/>
      <w:bookmarkEnd w:id="204"/>
      <w:r>
        <w:rPr>
          <w:rStyle w:val="Style15"/>
        </w:rPr>
        <w:t xml:space="preserve">б) долгосрочный договор с инвестиционными обязательствами (заключаемый в соответствии с </w:t>
      </w:r>
      <w:hyperlink r:id="rId99">
        <w:r>
          <w:rPr>
            <w:rStyle w:val="ListLabel5"/>
            <w:rFonts w:ascii="Times New Roman" w:hAnsi="Times New Roman"/>
            <w:b w:val="false"/>
            <w:color w:val="106BBE"/>
          </w:rPr>
          <w:t>Федеральным законом</w:t>
        </w:r>
      </w:hyperlink>
      <w:r>
        <w:rPr>
          <w:rStyle w:val="Style15"/>
        </w:rPr>
        <w:t xml:space="preserve"> от 18 июля 2011 г. N 223-ФЗ "О закупках товаров, работ, услуг отдельными видами юридических лиц");</w:t>
      </w:r>
    </w:p>
    <w:p>
      <w:pPr>
        <w:pStyle w:val="Normal"/>
        <w:rPr/>
      </w:pPr>
      <w:bookmarkStart w:id="205" w:name="sub_11023_Копия_1"/>
      <w:bookmarkStart w:id="206" w:name="sub_11023"/>
      <w:bookmarkEnd w:id="205"/>
      <w:bookmarkEnd w:id="206"/>
      <w:r>
        <w:rPr>
          <w:rStyle w:val="Style15"/>
        </w:rPr>
        <w:t xml:space="preserve">в) утратил силу с 5 августа 2021 г. - </w:t>
      </w:r>
      <w:hyperlink r:id="rId100">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207" w:name="sub_11023_Копия_2"/>
      <w:bookmarkEnd w:id="207"/>
      <w:r>
        <w:rPr>
          <w:color w:val="000000"/>
          <w:sz w:val="16"/>
          <w:shd w:fill="F0F0F0" w:val="clear"/>
        </w:rPr>
        <w:t>Информация об изменениях:</w:t>
      </w:r>
    </w:p>
    <w:p>
      <w:pPr>
        <w:pStyle w:val="Style23"/>
        <w:bidi w:val="0"/>
        <w:rPr/>
      </w:pPr>
      <w:r>
        <w:rPr/>
        <w:t xml:space="preserve"> </w:t>
      </w:r>
      <w:hyperlink r:id="rId101">
        <w:r>
          <w:rPr>
            <w:rStyle w:val="ListLabel6"/>
            <w:rFonts w:ascii="Times New Roman" w:hAnsi="Times New Roman"/>
            <w:b w:val="false"/>
            <w:color w:val="106BBE"/>
            <w:shd w:fill="F0F0F0" w:val="clear"/>
          </w:rPr>
          <w:t>См. предыдущую редакцию</w:t>
        </w:r>
      </w:hyperlink>
    </w:p>
    <w:p>
      <w:pPr>
        <w:pStyle w:val="Normal"/>
        <w:rPr/>
      </w:pPr>
      <w:bookmarkStart w:id="208" w:name="sub_11024"/>
      <w:bookmarkEnd w:id="208"/>
      <w:r>
        <w:rPr>
          <w:rStyle w:val="Style15"/>
        </w:rPr>
        <w:t xml:space="preserve">г) договор аренды с инвестиционными обязательствами, стороной в котором является орган власти (заключаемый в соответствии с </w:t>
      </w:r>
      <w:hyperlink r:id="rId102">
        <w:r>
          <w:rPr>
            <w:rStyle w:val="ListLabel5"/>
            <w:rFonts w:ascii="Times New Roman" w:hAnsi="Times New Roman"/>
            <w:b w:val="false"/>
            <w:color w:val="106BBE"/>
          </w:rPr>
          <w:t>Гражданским кодексом</w:t>
        </w:r>
      </w:hyperlink>
      <w:r>
        <w:rPr>
          <w:rStyle w:val="Style15"/>
        </w:rPr>
        <w:t xml:space="preserve"> Российской Федерации);</w:t>
      </w:r>
    </w:p>
    <w:p>
      <w:pPr>
        <w:pStyle w:val="Normal"/>
        <w:rPr/>
      </w:pPr>
      <w:bookmarkStart w:id="209" w:name="sub_11025_Копия_1"/>
      <w:bookmarkStart w:id="210" w:name="sub_11025"/>
      <w:bookmarkEnd w:id="209"/>
      <w:bookmarkEnd w:id="210"/>
      <w:r>
        <w:rPr>
          <w:rStyle w:val="Style15"/>
        </w:rPr>
        <w:t xml:space="preserve">д) энергосервисный контракт, предметом которого является совершение исполнителем действий, направленных на энергосбережение и повышение энергетической эффективности использования энергетических ресурсов (заключаемый в соответствии с </w:t>
      </w:r>
      <w:hyperlink r:id="rId103">
        <w:r>
          <w:rPr>
            <w:rStyle w:val="ListLabel5"/>
            <w:rFonts w:ascii="Times New Roman" w:hAnsi="Times New Roman"/>
            <w:b w:val="false"/>
            <w:color w:val="106BBE"/>
          </w:rPr>
          <w:t>Законом</w:t>
        </w:r>
      </w:hyperlink>
      <w:r>
        <w:rPr>
          <w:rStyle w:val="Style15"/>
        </w:rPr>
        <w:t xml:space="preserve"> N 44-ФЗ);</w:t>
      </w:r>
    </w:p>
    <w:p>
      <w:pPr>
        <w:pStyle w:val="Normal"/>
        <w:rPr/>
      </w:pPr>
      <w:bookmarkStart w:id="211" w:name="sub_11026_Копия_1"/>
      <w:bookmarkStart w:id="212" w:name="sub_11026"/>
      <w:bookmarkEnd w:id="211"/>
      <w:bookmarkEnd w:id="212"/>
      <w:r>
        <w:rPr>
          <w:rStyle w:val="Style15"/>
        </w:rPr>
        <w:t xml:space="preserve">е) государственный контракт на поставку товара, предусматривающий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(договор офсетной закупки, заключаемый в соответствии с </w:t>
      </w:r>
      <w:hyperlink r:id="rId104">
        <w:r>
          <w:rPr>
            <w:rStyle w:val="ListLabel5"/>
            <w:rFonts w:ascii="Times New Roman" w:hAnsi="Times New Roman"/>
            <w:b w:val="false"/>
            <w:color w:val="106BBE"/>
          </w:rPr>
          <w:t>Законом</w:t>
        </w:r>
      </w:hyperlink>
      <w:r>
        <w:rPr>
          <w:rStyle w:val="Style15"/>
        </w:rPr>
        <w:t xml:space="preserve"> N 44-ФЗ);</w:t>
      </w:r>
    </w:p>
    <w:p>
      <w:pPr>
        <w:pStyle w:val="Normal"/>
        <w:rPr/>
      </w:pPr>
      <w:bookmarkStart w:id="213" w:name="sub_11027_Копия_1"/>
      <w:bookmarkStart w:id="214" w:name="sub_11027"/>
      <w:bookmarkEnd w:id="213"/>
      <w:bookmarkEnd w:id="214"/>
      <w:r>
        <w:rPr>
          <w:rStyle w:val="Style15"/>
        </w:rPr>
        <w:t xml:space="preserve">ж) специальный инвестиционный контракт, стороной в котором не является Российская Федерация (заключаемый в соответствии с </w:t>
      </w:r>
      <w:hyperlink r:id="rId105">
        <w:r>
          <w:rPr>
            <w:rStyle w:val="ListLabel5"/>
            <w:rFonts w:ascii="Times New Roman" w:hAnsi="Times New Roman"/>
            <w:b w:val="false"/>
            <w:color w:val="106BBE"/>
          </w:rPr>
          <w:t>Федеральным законом</w:t>
        </w:r>
      </w:hyperlink>
      <w:r>
        <w:rPr>
          <w:rStyle w:val="Style15"/>
        </w:rPr>
        <w:t xml:space="preserve"> от 31 декабря 2014 г. N 488-ФЗ "О промышленной политике в Российской Федерации");</w:t>
      </w:r>
    </w:p>
    <w:p>
      <w:pPr>
        <w:pStyle w:val="Style19"/>
        <w:bidi w:val="0"/>
        <w:rPr/>
      </w:pPr>
      <w:bookmarkStart w:id="215" w:name="sub_11028_Копия_1"/>
      <w:bookmarkStart w:id="216" w:name="sub_11028"/>
      <w:bookmarkEnd w:id="215"/>
      <w:bookmarkEnd w:id="216"/>
      <w:r>
        <w:rPr>
          <w:color w:val="000000"/>
          <w:sz w:val="16"/>
          <w:shd w:fill="F0F0F0" w:val="clear"/>
        </w:rPr>
        <w:t>Информация об изменениях:</w:t>
      </w:r>
    </w:p>
    <w:p>
      <w:pPr>
        <w:pStyle w:val="Style23"/>
        <w:bidi w:val="0"/>
        <w:rPr/>
      </w:pPr>
      <w:bookmarkStart w:id="217" w:name="sub_11028_Копия_2"/>
      <w:bookmarkEnd w:id="217"/>
      <w:r>
        <w:rPr/>
        <w:t xml:space="preserve"> </w:t>
      </w:r>
      <w:r>
        <w:rPr>
          <w:shd w:fill="F0F0F0" w:val="clear"/>
        </w:rPr>
        <w:t xml:space="preserve">Подпункт "з" изменен с 5 августа 2021 г. - </w:t>
      </w:r>
      <w:hyperlink r:id="rId106">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5 августа 2021 г. N 469</w:t>
      </w:r>
    </w:p>
    <w:p>
      <w:pPr>
        <w:pStyle w:val="Style23"/>
        <w:bidi w:val="0"/>
        <w:rPr/>
      </w:pPr>
      <w:r>
        <w:rPr/>
        <w:t xml:space="preserve"> </w:t>
      </w:r>
      <w:hyperlink r:id="rId107">
        <w:r>
          <w:rPr>
            <w:rStyle w:val="ListLabel6"/>
            <w:rFonts w:ascii="Times New Roman" w:hAnsi="Times New Roman"/>
            <w:b w:val="false"/>
            <w:color w:val="106BBE"/>
            <w:shd w:fill="F0F0F0" w:val="clear"/>
          </w:rPr>
          <w:t>См. предыдущую редакцию</w:t>
        </w:r>
      </w:hyperlink>
    </w:p>
    <w:p>
      <w:pPr>
        <w:pStyle w:val="Normal"/>
        <w:rPr/>
      </w:pPr>
      <w:r>
        <w:rPr>
          <w:rStyle w:val="Style15"/>
        </w:rPr>
        <w:t>з) совместное предприятие, соответствующее следующим условиям:</w:t>
      </w:r>
    </w:p>
    <w:p>
      <w:pPr>
        <w:pStyle w:val="Normal"/>
        <w:rPr/>
      </w:pPr>
      <w:r>
        <w:rPr>
          <w:rStyle w:val="Style15"/>
        </w:rPr>
        <w:t>является юридическим лицом, специально созданным в целях реализации инвестиционного проекта по созданию, реконструкции и модернизации недвижимого и движимого имущества и созданию результатов интеллектуальной деятельности (далее - инвестиционный проект) либо владеющим недвижимым и (или) движимым имуществом, в отношении которого предполагается осуществление инвестиционных мероприятий (реконструкция, модернизация);</w:t>
      </w:r>
    </w:p>
    <w:p>
      <w:pPr>
        <w:pStyle w:val="Normal"/>
        <w:rPr/>
      </w:pPr>
      <w:r>
        <w:rPr>
          <w:rStyle w:val="Style15"/>
        </w:rPr>
        <w:t>до реализации инвестиционных мероприятий 50 и более процентов уставного капитала юридического лица находится в прямом или косвенном владении органа власти;</w:t>
      </w:r>
    </w:p>
    <w:p>
      <w:pPr>
        <w:pStyle w:val="Normal"/>
        <w:rPr/>
      </w:pPr>
      <w:bookmarkStart w:id="218" w:name="sub_110284"/>
      <w:bookmarkEnd w:id="218"/>
      <w:r>
        <w:rPr>
          <w:rStyle w:val="Style15"/>
        </w:rPr>
        <w:t>после реализации инвестиционных мероприятий доля органа власти в уставном капитале юридического лица составляет менее 50 процентов;</w:t>
      </w:r>
    </w:p>
    <w:p>
      <w:pPr>
        <w:pStyle w:val="Normal"/>
        <w:rPr/>
      </w:pPr>
      <w:bookmarkStart w:id="219" w:name="sub_110284_Копия_1"/>
      <w:bookmarkEnd w:id="219"/>
      <w:r>
        <w:rPr>
          <w:rStyle w:val="Style15"/>
        </w:rPr>
        <w:t>на хозяйствующий субъект, привлеченный в целях реализации инвестиционного проекта и владеющий долей в уставном капитале юридического лица, возложены инвестиционные обязательства, предусмотренные договором;</w:t>
      </w:r>
    </w:p>
    <w:p>
      <w:pPr>
        <w:pStyle w:val="Normal"/>
        <w:rPr/>
      </w:pPr>
      <w:r>
        <w:rPr>
          <w:rStyle w:val="Style15"/>
        </w:rPr>
        <w:t>орган власти соответствующего уровня предоставляет такому юридическому лицу меры поддержки, в том числе предоставление в аренду земельных участков, предоставление льгот по налогам и сборам;</w:t>
      </w:r>
    </w:p>
    <w:p>
      <w:pPr>
        <w:pStyle w:val="Normal"/>
        <w:rPr/>
      </w:pPr>
      <w:bookmarkStart w:id="220" w:name="sub_11029"/>
      <w:bookmarkEnd w:id="220"/>
      <w:r>
        <w:rPr>
          <w:rStyle w:val="Style15"/>
        </w:rPr>
        <w:t xml:space="preserve">и) утратил силу с 5 августа 2021 г. - </w:t>
      </w:r>
      <w:hyperlink r:id="rId108">
        <w:r>
          <w:rPr>
            <w:rStyle w:val="ListLabel5"/>
            <w:rFonts w:ascii="Times New Roman" w:hAnsi="Times New Roman"/>
            <w:b w:val="false"/>
            <w:color w:val="106BBE"/>
          </w:rPr>
          <w:t>Приказ</w:t>
        </w:r>
      </w:hyperlink>
      <w:r>
        <w:rPr>
          <w:rStyle w:val="Style15"/>
        </w:rPr>
        <w:t xml:space="preserve"> Минэкономразвития России от 5 августа 2021 г. N 469</w:t>
      </w:r>
    </w:p>
    <w:p>
      <w:pPr>
        <w:pStyle w:val="Style19"/>
        <w:bidi w:val="0"/>
        <w:rPr/>
      </w:pPr>
      <w:bookmarkStart w:id="221" w:name="sub_11029_Копия_1"/>
      <w:bookmarkEnd w:id="221"/>
      <w:r>
        <w:rPr>
          <w:color w:val="000000"/>
          <w:sz w:val="16"/>
          <w:shd w:fill="F0F0F0" w:val="clear"/>
        </w:rPr>
        <w:t>Информация об изменениях:</w:t>
      </w:r>
    </w:p>
    <w:p>
      <w:pPr>
        <w:pStyle w:val="Style23"/>
        <w:bidi w:val="0"/>
        <w:rPr/>
      </w:pPr>
      <w:r>
        <w:rPr/>
        <w:t xml:space="preserve"> </w:t>
      </w:r>
      <w:hyperlink r:id="rId109">
        <w:r>
          <w:rPr>
            <w:rStyle w:val="ListLabel6"/>
            <w:rFonts w:ascii="Times New Roman" w:hAnsi="Times New Roman"/>
            <w:b w:val="false"/>
            <w:color w:val="106BBE"/>
            <w:shd w:fill="F0F0F0" w:val="clear"/>
          </w:rPr>
          <w:t>См. предыдущую редакцию</w:t>
        </w:r>
      </w:hyperlink>
    </w:p>
    <w:p>
      <w:pPr>
        <w:pStyle w:val="Style23"/>
        <w:bidi w:val="0"/>
        <w:rPr/>
      </w:pPr>
      <w:bookmarkStart w:id="222" w:name="sub_11210"/>
      <w:bookmarkEnd w:id="222"/>
      <w:r>
        <w:rPr/>
        <w:t xml:space="preserve"> </w:t>
      </w:r>
      <w:r>
        <w:rPr>
          <w:shd w:fill="F0F0F0" w:val="clear"/>
        </w:rPr>
        <w:t xml:space="preserve">Пункт 2 дополнен подпунктом "к" с 27 декабря 2023 г. - </w:t>
      </w:r>
      <w:hyperlink r:id="rId110">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27 декабря 2023 г. N 924</w:t>
      </w:r>
    </w:p>
    <w:p>
      <w:pPr>
        <w:pStyle w:val="Normal"/>
        <w:rPr/>
      </w:pPr>
      <w:bookmarkStart w:id="223" w:name="sub_11210_Копия_1"/>
      <w:bookmarkEnd w:id="223"/>
      <w:r>
        <w:rPr>
          <w:rStyle w:val="Style15"/>
        </w:rPr>
        <w:t xml:space="preserve">к) договор о комплексном развитии территории (заключаемый в соответствии с </w:t>
      </w:r>
      <w:hyperlink r:id="rId111">
        <w:r>
          <w:rPr>
            <w:rStyle w:val="ListLabel5"/>
            <w:rFonts w:ascii="Times New Roman" w:hAnsi="Times New Roman"/>
            <w:b w:val="false"/>
            <w:color w:val="106BBE"/>
          </w:rPr>
          <w:t>Градостроительным кодексом</w:t>
        </w:r>
      </w:hyperlink>
      <w:r>
        <w:rPr>
          <w:rStyle w:val="Style15"/>
        </w:rPr>
        <w:t xml:space="preserve"> Российской Федерации);</w:t>
      </w:r>
    </w:p>
    <w:p>
      <w:pPr>
        <w:pStyle w:val="Style19"/>
        <w:bidi w:val="0"/>
        <w:rPr/>
      </w:pPr>
      <w:bookmarkStart w:id="224" w:name="sub_11211"/>
      <w:bookmarkEnd w:id="224"/>
      <w:r>
        <w:rPr>
          <w:color w:val="000000"/>
          <w:sz w:val="16"/>
          <w:shd w:fill="F0F0F0" w:val="clear"/>
        </w:rPr>
        <w:t>Информация об изменениях:</w:t>
      </w:r>
    </w:p>
    <w:p>
      <w:pPr>
        <w:pStyle w:val="Style23"/>
        <w:bidi w:val="0"/>
        <w:rPr/>
      </w:pPr>
      <w:bookmarkStart w:id="225" w:name="sub_11211_Копия_1"/>
      <w:bookmarkEnd w:id="225"/>
      <w:r>
        <w:rPr/>
        <w:t xml:space="preserve"> </w:t>
      </w:r>
      <w:r>
        <w:rPr>
          <w:shd w:fill="F0F0F0" w:val="clear"/>
        </w:rPr>
        <w:t xml:space="preserve">Пункт 2 дополнен подпунктом "л" с 27 декабря 2023 г. - </w:t>
      </w:r>
      <w:hyperlink r:id="rId112">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27 декабря 2023 г. N 924</w:t>
      </w:r>
    </w:p>
    <w:p>
      <w:pPr>
        <w:pStyle w:val="Normal"/>
        <w:rPr/>
      </w:pPr>
      <w:r>
        <w:rPr>
          <w:rStyle w:val="Style15"/>
        </w:rPr>
        <w:t>л) соглашение об осуществлении деятельности в особой и (или) свободной экономической зоне (заключаемое на основании соответствующего федерального закона, предусматривающего осуществление исполнительным органом субъекта Российской Федерации отдельных полномочий по управлению соответствующей особой и (или) свободной экономической зоной);</w:t>
      </w:r>
    </w:p>
    <w:p>
      <w:pPr>
        <w:pStyle w:val="Style19"/>
        <w:bidi w:val="0"/>
        <w:rPr/>
      </w:pPr>
      <w:bookmarkStart w:id="226" w:name="sub_11212"/>
      <w:bookmarkEnd w:id="226"/>
      <w:r>
        <w:rPr>
          <w:color w:val="000000"/>
          <w:sz w:val="16"/>
          <w:shd w:fill="F0F0F0" w:val="clear"/>
        </w:rPr>
        <w:t>Информация об изменениях:</w:t>
      </w:r>
    </w:p>
    <w:p>
      <w:pPr>
        <w:pStyle w:val="Style23"/>
        <w:bidi w:val="0"/>
        <w:rPr/>
      </w:pPr>
      <w:bookmarkStart w:id="227" w:name="sub_11212_Копия_1"/>
      <w:bookmarkEnd w:id="227"/>
      <w:r>
        <w:rPr/>
        <w:t xml:space="preserve"> </w:t>
      </w:r>
      <w:r>
        <w:rPr>
          <w:shd w:fill="F0F0F0" w:val="clear"/>
        </w:rPr>
        <w:t xml:space="preserve">Пункт 2 дополнен подпунктом "м" с 27 декабря 2023 г. - </w:t>
      </w:r>
      <w:hyperlink r:id="rId113">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27 декабря 2023 г. N 924</w:t>
      </w:r>
    </w:p>
    <w:p>
      <w:pPr>
        <w:pStyle w:val="Normal"/>
        <w:rPr/>
      </w:pPr>
      <w:r>
        <w:rPr>
          <w:rStyle w:val="Style15"/>
        </w:rPr>
        <w:t>м) иные формы сотрудничества исполнительного органа субъекта Российской Федерации и (или) органа местного самоуправления и хозяйствующих субъектов, соответствующие следующим условиям:</w:t>
      </w:r>
    </w:p>
    <w:p>
      <w:pPr>
        <w:pStyle w:val="Normal"/>
        <w:rPr/>
      </w:pPr>
      <w:r>
        <w:rPr>
          <w:rStyle w:val="Style15"/>
        </w:rPr>
        <w:t>в субъекте Российской Федерации принят нормативный правовой акт, устанавливающий перечень условий соглашения (договора) между исполнительным органом субъекта Российской Федерации и (или) органом местного самоуправления и хозяйствующим субъектом в связи с реализацией инвестиционного проекта, в том числе обязательство исполнительного органа субъекта Российской Федерации и (или) органа местного самоуправления по предоставлению хозяйствующему субъекту льгот по арендной плате за земельные участки, движимое и недвижимое имущество, находящиеся в государственной и (или) муниципальной собственности, в целях реализации инвестиционного проекта, а также обязательство хозяйствующего субъекта по созданию и (или) реконструкции объектов недвижимого имущества или недвижимого имущества и движимого имущества, по созданию результатов интеллектуальной деятельности и (или) достижению определенных социально-экономических эффектов от реализации инвестиционного проекта (в том числе создание рабочих мест, формирование налоговых поступлений, объемов производства социально значимой продукции) в установленные сроки;</w:t>
      </w:r>
    </w:p>
    <w:p>
      <w:pPr>
        <w:pStyle w:val="Normal"/>
        <w:rPr/>
      </w:pPr>
      <w:r>
        <w:rPr>
          <w:rStyle w:val="Style15"/>
        </w:rPr>
        <w:t>взаимоотношения исполнительного органа субъекта Российской Федерации и (или) органа местного самоуправления и хозяйствующего субъекта в связи с реализацией инвестиционного проекта регламентируются заключенным соглашением (договором);</w:t>
      </w:r>
    </w:p>
    <w:p>
      <w:pPr>
        <w:pStyle w:val="Normal"/>
        <w:rPr/>
      </w:pPr>
      <w:r>
        <w:rPr>
          <w:rStyle w:val="Style15"/>
        </w:rPr>
        <w:t>права собственности на создаваемые и (или) реконструируемые объекты недвижимого имущества и (или) недвижимого имущества и движимого имущества и (или) исключительные права на результаты интеллектуальной деятельности, предусмотренные договором (соглашением), после реализации инвестиционных мероприятий будут принадлежать исполнительному органу субъекта Российской Федерации, или органу местного самоуправления, или хозяйствующему субъекту, или привлекаемым хозяйствующим субъектом одному или нескольким хозяйствующим субъектам, состав акционеров (участников) которых не менее чем на 51 процент идентичен составу акционеров (участников) хозяйствующего субъекта, реализующего инвестиционный проект;</w:t>
      </w:r>
    </w:p>
    <w:p>
      <w:pPr>
        <w:pStyle w:val="Normal"/>
        <w:rPr/>
      </w:pPr>
      <w:r>
        <w:rPr>
          <w:rStyle w:val="Style15"/>
        </w:rPr>
        <w:t>соглашением (договором) определены сроки создания и (или) реконструкции объектов недвижимого имущества или недвижимого и движимого имущества, создания результатов интеллектуальной деятельности;</w:t>
      </w:r>
    </w:p>
    <w:p>
      <w:pPr>
        <w:pStyle w:val="Normal"/>
        <w:rPr/>
      </w:pPr>
      <w:r>
        <w:rPr>
          <w:rStyle w:val="Style15"/>
        </w:rPr>
        <w:t>соглашением (договором) определен объем инвестиций, осуществляемых хозяйствующим субъектом, и (или) исполнительным органом субъекта Российской Федерации, и (или) органом местного самоуправления при реализации инвестиционного проекта;</w:t>
      </w:r>
    </w:p>
    <w:p>
      <w:pPr>
        <w:pStyle w:val="Normal"/>
        <w:rPr/>
      </w:pPr>
      <w:r>
        <w:rPr>
          <w:rStyle w:val="Style15"/>
        </w:rPr>
        <w:t>исполнительный орган субъекта Российской Федерации и (или) орган местного самоуправления не несет все расходы по реализации инвестиционного проекта;</w:t>
      </w:r>
    </w:p>
    <w:p>
      <w:pPr>
        <w:pStyle w:val="Normal"/>
        <w:rPr/>
      </w:pPr>
      <w:r>
        <w:rPr>
          <w:rStyle w:val="Style15"/>
        </w:rPr>
        <w:t>соглашением (договором) предусмотрена ответственность хозяйствующего субъекта за неисполнение и (или) ненадлежащее исполнение принятых обязательств.</w:t>
      </w:r>
    </w:p>
    <w:p>
      <w:pPr>
        <w:pStyle w:val="Normal"/>
        <w:rPr/>
      </w:pPr>
      <w:r>
        <w:rPr/>
      </w:r>
    </w:p>
    <w:p>
      <w:pPr>
        <w:pStyle w:val="Style19"/>
        <w:bidi w:val="0"/>
        <w:rPr/>
      </w:pPr>
      <w:bookmarkStart w:id="228" w:name="sub_12000"/>
      <w:bookmarkEnd w:id="228"/>
      <w:r>
        <w:rPr>
          <w:color w:val="000000"/>
          <w:sz w:val="16"/>
          <w:shd w:fill="F0F0F0" w:val="clear"/>
        </w:rPr>
        <w:t>Информация об изменениях:</w:t>
      </w:r>
    </w:p>
    <w:p>
      <w:pPr>
        <w:pStyle w:val="Style23"/>
        <w:bidi w:val="0"/>
        <w:rPr/>
      </w:pPr>
      <w:bookmarkStart w:id="229" w:name="sub_12000_Копия_1"/>
      <w:bookmarkEnd w:id="229"/>
      <w:r>
        <w:rPr/>
        <w:t xml:space="preserve"> </w:t>
      </w:r>
      <w:r>
        <w:rPr>
          <w:shd w:fill="F0F0F0" w:val="clear"/>
        </w:rPr>
        <w:t xml:space="preserve">Приложение 2 изменено с 27 декабря 2023 г. - </w:t>
      </w:r>
      <w:hyperlink r:id="rId114">
        <w:r>
          <w:rPr>
            <w:rStyle w:val="ListLabel6"/>
            <w:rFonts w:ascii="Times New Roman" w:hAnsi="Times New Roman"/>
            <w:b w:val="false"/>
            <w:color w:val="106BBE"/>
            <w:shd w:fill="F0F0F0" w:val="clear"/>
          </w:rPr>
          <w:t>Приказ</w:t>
        </w:r>
      </w:hyperlink>
      <w:r>
        <w:rPr>
          <w:shd w:fill="F0F0F0" w:val="clear"/>
        </w:rPr>
        <w:t xml:space="preserve"> Минэкономразвития России от 27 декабря 2023 г. N 924</w:t>
      </w:r>
    </w:p>
    <w:p>
      <w:pPr>
        <w:pStyle w:val="Style23"/>
        <w:bidi w:val="0"/>
        <w:rPr/>
      </w:pPr>
      <w:r>
        <w:rPr/>
        <w:t xml:space="preserve"> </w:t>
      </w:r>
      <w:hyperlink r:id="rId115">
        <w:r>
          <w:rPr>
            <w:rStyle w:val="ListLabel6"/>
            <w:rFonts w:ascii="Times New Roman" w:hAnsi="Times New Roman"/>
            <w:b w:val="false"/>
            <w:color w:val="106BBE"/>
            <w:shd w:fill="F0F0F0" w:val="clear"/>
          </w:rPr>
          <w:t>См. предыдущую редакцию</w:t>
        </w:r>
      </w:hyperlink>
    </w:p>
    <w:p>
      <w:pPr>
        <w:pStyle w:val="Normal"/>
        <w:ind w:firstLine="698"/>
        <w:jc w:val="right"/>
        <w:rPr/>
      </w:pPr>
      <w:r>
        <w:rPr>
          <w:rStyle w:val="Style14"/>
          <w:rFonts w:eastAsia="Symbol" w:cs="Wingdings"/>
        </w:rPr>
        <w:t>Приложение N 2</w:t>
        <w:br/>
        <w:t xml:space="preserve">к </w:t>
      </w:r>
      <w:hyperlink w:anchor="sub_1000">
        <w:r>
          <w:rPr>
            <w:rStyle w:val="ListLabel5"/>
            <w:rFonts w:ascii="Times New Roman" w:hAnsi="Times New Roman"/>
            <w:b w:val="false"/>
            <w:color w:val="106BBE"/>
          </w:rPr>
          <w:t>Методике</w:t>
        </w:r>
      </w:hyperlink>
      <w:r>
        <w:rPr>
          <w:rStyle w:val="Style14"/>
          <w:rFonts w:eastAsia="Symbol" w:cs="Wingdings"/>
        </w:rPr>
        <w:t xml:space="preserve"> расчета показателя</w:t>
        <w:br/>
        <w:t>"Уровень развития сферы</w:t>
        <w:br/>
        <w:t>государственно-частного партнерства</w:t>
        <w:br/>
        <w:t>в субъекте Российской Федерации"</w:t>
        <w:br/>
        <w:t>за 2020 и последующие годы,</w:t>
        <w:br/>
        <w:t xml:space="preserve">утвержденной </w:t>
      </w:r>
      <w:hyperlink w:anchor="sub_0">
        <w:r>
          <w:rPr>
            <w:rStyle w:val="ListLabel5"/>
            <w:rFonts w:ascii="Times New Roman" w:hAnsi="Times New Roman"/>
            <w:b w:val="false"/>
            <w:color w:val="106BBE"/>
          </w:rPr>
          <w:t>приказом</w:t>
        </w:r>
      </w:hyperlink>
      <w:r>
        <w:rPr>
          <w:rStyle w:val="Style14"/>
          <w:rFonts w:eastAsia="Symbol" w:cs="Wingdings"/>
        </w:rPr>
        <w:br/>
        <w:t>Минэкономразвития России</w:t>
        <w:br/>
        <w:t>от 19 декабря 2019 г. N 816</w:t>
      </w:r>
    </w:p>
    <w:p>
      <w:pPr>
        <w:pStyle w:val="Normal"/>
        <w:rPr/>
      </w:pPr>
      <w:r>
        <w:rPr/>
      </w:r>
    </w:p>
    <w:p>
      <w:pPr>
        <w:pStyle w:val="Heading1"/>
        <w:bidi w:val="0"/>
        <w:rPr/>
      </w:pPr>
      <w:r>
        <w:rPr/>
        <w:t>Требования</w:t>
        <w:br/>
        <w:t>к проектам государственно-частного партнерства, учитываемым при расчете показателя "Уровень развития сферы государственно-частного партнерства в субъекте Российской Федерации"</w:t>
      </w:r>
    </w:p>
    <w:p>
      <w:pPr>
        <w:pStyle w:val="Style26"/>
        <w:bidi w:val="0"/>
        <w:rPr/>
      </w:pPr>
      <w:r>
        <w:rPr/>
        <w:t>С изменениями и дополнениями от:</w:t>
      </w:r>
    </w:p>
    <w:p>
      <w:pPr>
        <w:pStyle w:val="Style24"/>
        <w:bidi w:val="0"/>
        <w:rPr/>
      </w:pPr>
      <w:r>
        <w:rPr/>
        <w:t xml:space="preserve"> </w:t>
      </w:r>
      <w:r>
        <w:rPr>
          <w:shd w:fill="EAEFED" w:val="clear"/>
        </w:rPr>
        <w:t>5 августа 2021 г., 27 декабря 2023 г.</w:t>
      </w:r>
    </w:p>
    <w:p>
      <w:pPr>
        <w:pStyle w:val="Normal"/>
        <w:rPr/>
      </w:pPr>
      <w:r>
        <w:rPr/>
      </w:r>
    </w:p>
    <w:p>
      <w:pPr>
        <w:pStyle w:val="Normal"/>
        <w:rPr/>
      </w:pPr>
      <w:r>
        <w:rPr>
          <w:rStyle w:val="Style15"/>
        </w:rPr>
        <w:t>При расчете показателя "Уровень развития сферы государственно-частного партнерства в субъекте Российской Федерации" учитываются проекты государственно-частного партнерства, соответствующие следующим требованиям:</w:t>
      </w:r>
    </w:p>
    <w:p>
      <w:pPr>
        <w:pStyle w:val="Normal"/>
        <w:rPr/>
      </w:pPr>
      <w:bookmarkStart w:id="230" w:name="sub_12100"/>
      <w:bookmarkEnd w:id="230"/>
      <w:r>
        <w:rPr>
          <w:rStyle w:val="Style15"/>
        </w:rPr>
        <w:t>1) проекты государственно-частного партнерства реализуются в отношении следующих объектов</w:t>
      </w:r>
      <w:r>
        <w:rPr>
          <w:rStyle w:val="Style15"/>
          <w:vertAlign w:val="superscript"/>
        </w:rPr>
        <w:t> </w:t>
      </w:r>
      <w:hyperlink w:anchor="sub_1211">
        <w:r>
          <w:rPr>
            <w:rStyle w:val="ListLabel7"/>
            <w:rFonts w:ascii="Times New Roman" w:hAnsi="Times New Roman"/>
            <w:b w:val="false"/>
            <w:color w:val="106BBE"/>
            <w:vertAlign w:val="superscript"/>
          </w:rPr>
          <w:t>1</w:t>
        </w:r>
      </w:hyperlink>
      <w:r>
        <w:rPr>
          <w:rStyle w:val="Style15"/>
        </w:rPr>
        <w:t>:</w:t>
      </w:r>
    </w:p>
    <w:p>
      <w:pPr>
        <w:pStyle w:val="Normal"/>
        <w:rPr/>
      </w:pPr>
      <w:bookmarkStart w:id="231" w:name="sub_12100_Копия_1"/>
      <w:bookmarkEnd w:id="231"/>
      <w:r>
        <w:rPr>
          <w:rStyle w:val="Style15"/>
        </w:rPr>
        <w:t>автомобильный транспорт и инфраструктура;</w:t>
      </w:r>
    </w:p>
    <w:p>
      <w:pPr>
        <w:pStyle w:val="Normal"/>
        <w:rPr/>
      </w:pPr>
      <w:r>
        <w:rPr>
          <w:rStyle w:val="Style15"/>
        </w:rPr>
        <w:t>железнодорожный транспорт и инфраструктура;</w:t>
      </w:r>
    </w:p>
    <w:p>
      <w:pPr>
        <w:pStyle w:val="Normal"/>
        <w:rPr/>
      </w:pPr>
      <w:r>
        <w:rPr>
          <w:rStyle w:val="Style15"/>
        </w:rPr>
        <w:t>воздушный транспорт и инфраструктура;</w:t>
      </w:r>
    </w:p>
    <w:p>
      <w:pPr>
        <w:pStyle w:val="Normal"/>
        <w:rPr/>
      </w:pPr>
      <w:r>
        <w:rPr>
          <w:rStyle w:val="Style15"/>
        </w:rPr>
        <w:t>водный транспорт и инфраструктура;</w:t>
      </w:r>
    </w:p>
    <w:p>
      <w:pPr>
        <w:pStyle w:val="Normal"/>
        <w:rPr/>
      </w:pPr>
      <w:r>
        <w:rPr>
          <w:rStyle w:val="Style15"/>
        </w:rPr>
        <w:t>транспорт общего пользования;</w:t>
      </w:r>
    </w:p>
    <w:p>
      <w:pPr>
        <w:pStyle w:val="Normal"/>
        <w:rPr/>
      </w:pPr>
      <w:r>
        <w:rPr>
          <w:rStyle w:val="Style15"/>
        </w:rPr>
        <w:t>трубопроводный транспорт;</w:t>
      </w:r>
    </w:p>
    <w:p>
      <w:pPr>
        <w:pStyle w:val="Normal"/>
        <w:rPr/>
      </w:pPr>
      <w:r>
        <w:rPr>
          <w:rStyle w:val="Style15"/>
        </w:rPr>
        <w:t>объекты здравоохранения;</w:t>
      </w:r>
    </w:p>
    <w:p>
      <w:pPr>
        <w:pStyle w:val="Normal"/>
        <w:rPr/>
      </w:pPr>
      <w:r>
        <w:rPr>
          <w:rStyle w:val="Style15"/>
        </w:rPr>
        <w:t>объекты образования;</w:t>
      </w:r>
    </w:p>
    <w:p>
      <w:pPr>
        <w:pStyle w:val="Normal"/>
        <w:rPr/>
      </w:pPr>
      <w:r>
        <w:rPr>
          <w:rStyle w:val="Style15"/>
        </w:rPr>
        <w:t>объекты культуры, спорта и объекты, используемые для организации отдыха граждан и туризма;</w:t>
      </w:r>
    </w:p>
    <w:p>
      <w:pPr>
        <w:pStyle w:val="Normal"/>
        <w:rPr/>
      </w:pPr>
      <w:r>
        <w:rPr>
          <w:rStyle w:val="Style15"/>
        </w:rPr>
        <w:t>объекты социального обслуживания граждан;</w:t>
      </w:r>
    </w:p>
    <w:p>
      <w:pPr>
        <w:pStyle w:val="Normal"/>
        <w:rPr/>
      </w:pPr>
      <w:r>
        <w:rPr>
          <w:rStyle w:val="Style15"/>
        </w:rPr>
        <w:t>объекты, предназначенные для благоустройства территорий;</w:t>
      </w:r>
    </w:p>
    <w:p>
      <w:pPr>
        <w:pStyle w:val="Normal"/>
        <w:rPr/>
      </w:pPr>
      <w:r>
        <w:rPr>
          <w:rStyle w:val="Style15"/>
        </w:rPr>
        <w:t>объекты теплоснабжения, водоснабжения и водоотведения;</w:t>
      </w:r>
    </w:p>
    <w:p>
      <w:pPr>
        <w:pStyle w:val="Normal"/>
        <w:rPr/>
      </w:pPr>
      <w:r>
        <w:rPr>
          <w:rStyle w:val="Style15"/>
        </w:rPr>
        <w:t>объекты, на которых осуществляются обработка, накопление, утилизация, обезвреживание, размещение твердых коммунальных отходов;</w:t>
      </w:r>
    </w:p>
    <w:p>
      <w:pPr>
        <w:pStyle w:val="Normal"/>
        <w:rPr/>
      </w:pPr>
      <w:r>
        <w:rPr>
          <w:rStyle w:val="Style15"/>
        </w:rPr>
        <w:t>объекты по производству, передаче и распределению электрической энергии, объекты газоснабжения;</w:t>
      </w:r>
    </w:p>
    <w:p>
      <w:pPr>
        <w:pStyle w:val="Normal"/>
        <w:rPr/>
      </w:pPr>
      <w:r>
        <w:rPr>
          <w:rStyle w:val="Style15"/>
        </w:rPr>
        <w:t>объекты производства, первичной и (или) последующей (промышленной) переработки, хранения сельскохозяйственной продукции;</w:t>
      </w:r>
    </w:p>
    <w:p>
      <w:pPr>
        <w:pStyle w:val="Normal"/>
        <w:rPr/>
      </w:pPr>
      <w:r>
        <w:rPr>
          <w:rStyle w:val="Style15"/>
        </w:rPr>
        <w:t>объекты охотничьей инфраструктуры;</w:t>
      </w:r>
    </w:p>
    <w:p>
      <w:pPr>
        <w:pStyle w:val="Normal"/>
        <w:rPr/>
      </w:pPr>
      <w:r>
        <w:rPr>
          <w:rStyle w:val="Style15"/>
        </w:rPr>
        <w:t>сооружения связи;</w:t>
      </w:r>
    </w:p>
    <w:p>
      <w:pPr>
        <w:pStyle w:val="Normal"/>
        <w:rPr/>
      </w:pPr>
      <w:r>
        <w:rPr>
          <w:rStyle w:val="Style15"/>
        </w:rPr>
        <w:t>объекты промышленности;</w:t>
      </w:r>
    </w:p>
    <w:p>
      <w:pPr>
        <w:pStyle w:val="Normal"/>
        <w:rPr/>
      </w:pPr>
      <w:r>
        <w:rPr>
          <w:rStyle w:val="Style15"/>
        </w:rPr>
        <w:t>объекты информационных технологий;</w:t>
      </w:r>
    </w:p>
    <w:p>
      <w:pPr>
        <w:pStyle w:val="Normal"/>
        <w:rPr/>
      </w:pPr>
      <w:bookmarkStart w:id="232" w:name="sub_12200"/>
      <w:bookmarkEnd w:id="232"/>
      <w:r>
        <w:rPr>
          <w:rStyle w:val="Style15"/>
        </w:rPr>
        <w:t>2) в отношении проектов государственно-частного партнерства в модуле ГЧП в ГАС "Управление" содержится полная, актуальная, достоверная и документально подтвержденная информация в части:</w:t>
      </w:r>
    </w:p>
    <w:p>
      <w:pPr>
        <w:pStyle w:val="Normal"/>
        <w:rPr/>
      </w:pPr>
      <w:bookmarkStart w:id="233" w:name="sub_12200_Копия_1"/>
      <w:bookmarkEnd w:id="233"/>
      <w:r>
        <w:rPr>
          <w:rStyle w:val="Style15"/>
        </w:rPr>
        <w:t>формы государственно-частного партнерства;</w:t>
      </w:r>
    </w:p>
    <w:p>
      <w:pPr>
        <w:pStyle w:val="Normal"/>
        <w:rPr/>
      </w:pPr>
      <w:r>
        <w:rPr>
          <w:rStyle w:val="Style15"/>
        </w:rPr>
        <w:t>даты соглашения и решения о заключении соглашения;</w:t>
      </w:r>
    </w:p>
    <w:p>
      <w:pPr>
        <w:pStyle w:val="Normal"/>
        <w:rPr/>
      </w:pPr>
      <w:r>
        <w:rPr>
          <w:rStyle w:val="Style15"/>
        </w:rPr>
        <w:t>срока соглашения и даты окончания соглашения (при наличии);</w:t>
      </w:r>
    </w:p>
    <w:p>
      <w:pPr>
        <w:pStyle w:val="Normal"/>
        <w:rPr/>
      </w:pPr>
      <w:r>
        <w:rPr>
          <w:rStyle w:val="Style15"/>
        </w:rPr>
        <w:t>стадии реализации проекта государственно-частного партнерства (в случае если проект государственно-частного партнерства завершен, то с указанием даты и основания прекращения соглашения);</w:t>
      </w:r>
    </w:p>
    <w:p>
      <w:pPr>
        <w:pStyle w:val="Normal"/>
        <w:rPr/>
      </w:pPr>
      <w:r>
        <w:rPr>
          <w:rStyle w:val="Style15"/>
        </w:rPr>
        <w:t>объема инвестиций по проекту государственно-частного партнерства</w:t>
      </w:r>
      <w:r>
        <w:rPr>
          <w:rStyle w:val="Style15"/>
          <w:vertAlign w:val="superscript"/>
        </w:rPr>
        <w:t> </w:t>
      </w:r>
      <w:hyperlink w:anchor="sub_1222">
        <w:r>
          <w:rPr>
            <w:rStyle w:val="ListLabel7"/>
            <w:rFonts w:ascii="Times New Roman" w:hAnsi="Times New Roman"/>
            <w:b w:val="false"/>
            <w:color w:val="106BBE"/>
            <w:vertAlign w:val="superscript"/>
          </w:rPr>
          <w:t>2</w:t>
        </w:r>
      </w:hyperlink>
      <w:r>
        <w:rPr>
          <w:rStyle w:val="Style15"/>
        </w:rPr>
        <w:t>;</w:t>
      </w:r>
    </w:p>
    <w:p>
      <w:pPr>
        <w:pStyle w:val="Normal"/>
        <w:rPr/>
      </w:pPr>
      <w:r>
        <w:rPr>
          <w:rStyle w:val="Style15"/>
        </w:rPr>
        <w:t>текстов соглашения и решения о заключении соглашений со всеми приложениями и обосновывающими материалами (при наличии);</w:t>
      </w:r>
    </w:p>
    <w:p>
      <w:pPr>
        <w:pStyle w:val="Normal"/>
        <w:rPr/>
      </w:pPr>
      <w:r>
        <w:rPr>
          <w:rStyle w:val="Style15"/>
        </w:rPr>
        <w:t xml:space="preserve">ссылок на данные официального сайта Российской Федерации в информационно-телекоммуникационной сети "Интернет" для размещения информации о проведении торгов </w:t>
      </w:r>
      <w:hyperlink r:id="rId116">
        <w:r>
          <w:rPr>
            <w:rStyle w:val="ListLabel5"/>
            <w:rFonts w:ascii="Times New Roman" w:hAnsi="Times New Roman"/>
            <w:b w:val="false"/>
            <w:color w:val="106BBE"/>
          </w:rPr>
          <w:t>http://www.torgi.gov.ru</w:t>
        </w:r>
      </w:hyperlink>
      <w:r>
        <w:rPr>
          <w:rStyle w:val="Style15"/>
        </w:rPr>
        <w:t xml:space="preserve"> (при наличии);</w:t>
      </w:r>
    </w:p>
    <w:p>
      <w:pPr>
        <w:pStyle w:val="Normal"/>
        <w:rPr/>
      </w:pPr>
      <w:r>
        <w:rPr>
          <w:rStyle w:val="Style15"/>
        </w:rPr>
        <w:t>даты ввода объекта в эксплуатацию и (или) завершения модернизации либо реконструкции объекта.".</w:t>
      </w:r>
    </w:p>
    <w:p>
      <w:pPr>
        <w:pStyle w:val="Style18"/>
        <w:bidi w:val="0"/>
        <w:rPr/>
      </w:pPr>
      <w:r>
        <w:rPr>
          <w:sz w:val="22"/>
        </w:rPr>
        <w:t>──────────────────────────────</w:t>
      </w:r>
    </w:p>
    <w:p>
      <w:pPr>
        <w:pStyle w:val="FootnoteText"/>
        <w:bidi w:val="0"/>
        <w:ind w:hanging="0"/>
        <w:rPr/>
      </w:pPr>
      <w:bookmarkStart w:id="234" w:name="sub_1211"/>
      <w:bookmarkEnd w:id="234"/>
      <w:r>
        <w:rPr>
          <w:vertAlign w:val="superscript"/>
        </w:rPr>
        <w:t>1</w:t>
      </w:r>
      <w:r>
        <w:rPr/>
        <w:t xml:space="preserve"> В случае реализации проектов государственно-частного партнерства в форме, предусмотренной </w:t>
      </w:r>
      <w:hyperlink w:anchor="sub_11212">
        <w:r>
          <w:rPr>
            <w:rStyle w:val="ListLabel8"/>
            <w:rFonts w:ascii="Times New Roman" w:hAnsi="Times New Roman"/>
            <w:b w:val="false"/>
            <w:color w:val="106BBE"/>
            <w:sz w:val="24"/>
          </w:rPr>
          <w:t>подпунктом "м" пункта 2</w:t>
        </w:r>
      </w:hyperlink>
      <w:r>
        <w:rPr/>
        <w:t xml:space="preserve"> приложения N 1 к указанной Методике, проекты государственно-частного партнерства могут быть также реализованы в отношении объектов торговли, бизнес-центров, административных зданий.</w:t>
      </w:r>
    </w:p>
    <w:p>
      <w:pPr>
        <w:pStyle w:val="FootnoteText"/>
        <w:bidi w:val="0"/>
        <w:ind w:hanging="0"/>
        <w:rPr/>
      </w:pPr>
      <w:bookmarkStart w:id="235" w:name="sub_1222_Копия_1"/>
      <w:bookmarkStart w:id="236" w:name="sub_1222"/>
      <w:bookmarkEnd w:id="235"/>
      <w:bookmarkEnd w:id="236"/>
      <w:r>
        <w:rPr>
          <w:vertAlign w:val="superscript"/>
        </w:rPr>
        <w:t>2</w:t>
      </w:r>
      <w:r>
        <w:rPr/>
        <w:t xml:space="preserve"> В случае реализации проектов государственно-частного партнерства в формах, предусмотренных </w:t>
      </w:r>
      <w:hyperlink w:anchor="sub_11210">
        <w:r>
          <w:rPr>
            <w:rStyle w:val="ListLabel8"/>
            <w:rFonts w:ascii="Times New Roman" w:hAnsi="Times New Roman"/>
            <w:b w:val="false"/>
            <w:color w:val="106BBE"/>
            <w:sz w:val="24"/>
          </w:rPr>
          <w:t>подпунктами "к"</w:t>
        </w:r>
      </w:hyperlink>
      <w:r>
        <w:rPr/>
        <w:t xml:space="preserve">, </w:t>
      </w:r>
      <w:hyperlink w:anchor="sub_11211">
        <w:r>
          <w:rPr>
            <w:rStyle w:val="ListLabel8"/>
            <w:rFonts w:ascii="Times New Roman" w:hAnsi="Times New Roman"/>
            <w:b w:val="false"/>
            <w:color w:val="106BBE"/>
            <w:sz w:val="24"/>
          </w:rPr>
          <w:t>"л"</w:t>
        </w:r>
      </w:hyperlink>
      <w:r>
        <w:rPr/>
        <w:t xml:space="preserve"> и </w:t>
      </w:r>
      <w:hyperlink w:anchor="sub_11212">
        <w:r>
          <w:rPr>
            <w:rStyle w:val="ListLabel8"/>
            <w:rFonts w:ascii="Times New Roman" w:hAnsi="Times New Roman"/>
            <w:b w:val="false"/>
            <w:color w:val="106BBE"/>
            <w:sz w:val="24"/>
          </w:rPr>
          <w:t>"м" пункта 2</w:t>
        </w:r>
      </w:hyperlink>
      <w:r>
        <w:rPr/>
        <w:t xml:space="preserve"> приложения N 1 к указанной Методике, при определении объема инвестиций по проекту государственно-частного партнерства учитываются только частные инвестиции.</w:t>
      </w:r>
    </w:p>
    <w:p>
      <w:pPr>
        <w:pStyle w:val="Normal"/>
        <w:rPr/>
      </w:pPr>
      <w:r>
        <w:rPr/>
      </w:r>
      <w:bookmarkStart w:id="237" w:name="sub_1222_Копия_3"/>
      <w:bookmarkStart w:id="238" w:name="sub_1222_Копия_2"/>
      <w:bookmarkStart w:id="239" w:name="sub_1222_Копия_3"/>
      <w:bookmarkStart w:id="240" w:name="sub_1222_Копия_2"/>
      <w:bookmarkEnd w:id="239"/>
      <w:bookmarkEnd w:id="240"/>
    </w:p>
    <w:p>
      <w:pPr>
        <w:pStyle w:val="Normal"/>
        <w:ind w:firstLine="698"/>
        <w:jc w:val="right"/>
        <w:rPr/>
      </w:pPr>
      <w:bookmarkStart w:id="241" w:name="sub_2000"/>
      <w:bookmarkEnd w:id="241"/>
      <w:r>
        <w:rPr>
          <w:rStyle w:val="Style14"/>
          <w:rFonts w:eastAsia="Symbol" w:cs="Wingdings"/>
        </w:rPr>
        <w:t>Приложение N 2</w:t>
        <w:br/>
        <w:t xml:space="preserve">к </w:t>
      </w:r>
      <w:hyperlink w:anchor="sub_0">
        <w:r>
          <w:rPr>
            <w:rStyle w:val="ListLabel5"/>
            <w:rFonts w:ascii="Times New Roman" w:hAnsi="Times New Roman"/>
            <w:b w:val="false"/>
            <w:color w:val="106BBE"/>
          </w:rPr>
          <w:t>приказу</w:t>
        </w:r>
      </w:hyperlink>
      <w:r>
        <w:rPr>
          <w:rStyle w:val="Style14"/>
          <w:rFonts w:eastAsia="Symbol" w:cs="Wingdings"/>
        </w:rPr>
        <w:t xml:space="preserve"> Минэкономразвития России</w:t>
        <w:br/>
        <w:t>от 19.12.2019 г. N 816</w:t>
      </w:r>
    </w:p>
    <w:p>
      <w:pPr>
        <w:pStyle w:val="Normal"/>
        <w:rPr/>
      </w:pPr>
      <w:r>
        <w:rPr/>
      </w:r>
      <w:bookmarkStart w:id="242" w:name="sub_2000_Копия_2"/>
      <w:bookmarkStart w:id="243" w:name="sub_2000_Копия_1"/>
      <w:bookmarkStart w:id="244" w:name="sub_2000_Копия_2"/>
      <w:bookmarkStart w:id="245" w:name="sub_2000_Копия_1"/>
      <w:bookmarkEnd w:id="244"/>
      <w:bookmarkEnd w:id="245"/>
    </w:p>
    <w:p>
      <w:pPr>
        <w:pStyle w:val="Heading1"/>
        <w:bidi w:val="0"/>
        <w:rPr/>
      </w:pPr>
      <w:r>
        <w:rPr/>
        <w:t>Порядок</w:t>
        <w:br/>
        <w:t>формирования рейтинга субъектов Российской Федерации по уровню развития сферы государственно-частного партнерства в субъекте Российской Федерации за 2020 и последующие годы</w:t>
      </w:r>
    </w:p>
    <w:p>
      <w:pPr>
        <w:pStyle w:val="Normal"/>
        <w:rPr/>
      </w:pPr>
      <w:r>
        <w:rPr/>
      </w:r>
    </w:p>
    <w:p>
      <w:pPr>
        <w:pStyle w:val="Normal"/>
        <w:rPr/>
      </w:pPr>
      <w:bookmarkStart w:id="246" w:name="sub_2001"/>
      <w:bookmarkEnd w:id="246"/>
      <w:r>
        <w:rPr>
          <w:rStyle w:val="Style15"/>
        </w:rPr>
        <w:t>1. Настоящий Порядок устанавливает правила формирования рейтинга субъектов Российской Федерации по уровню развития сферы государственно-частного партнерства в субъекте Российской Федерации за 2020 и последующие годы (далее - рейтинг).</w:t>
      </w:r>
    </w:p>
    <w:p>
      <w:pPr>
        <w:pStyle w:val="Normal"/>
        <w:rPr/>
      </w:pPr>
      <w:bookmarkStart w:id="247" w:name="sub_2002_Копия_1"/>
      <w:bookmarkStart w:id="248" w:name="sub_2002"/>
      <w:bookmarkEnd w:id="247"/>
      <w:bookmarkEnd w:id="248"/>
      <w:r>
        <w:rPr>
          <w:rStyle w:val="Style15"/>
        </w:rPr>
        <w:t xml:space="preserve">2. Рейтинг формируется на основе значений показателя "Уровень развития государственно-частного партнерства в субъекте Российской Федерации" (далее - показатель), рассчитываемого для каждого субъекта Российской Федерации за отчетный год в соответствии с </w:t>
      </w:r>
      <w:hyperlink w:anchor="sub_1000">
        <w:r>
          <w:rPr>
            <w:rStyle w:val="ListLabel5"/>
            <w:rFonts w:ascii="Times New Roman" w:hAnsi="Times New Roman"/>
            <w:b w:val="false"/>
            <w:color w:val="106BBE"/>
          </w:rPr>
          <w:t>Методикой</w:t>
        </w:r>
      </w:hyperlink>
      <w:r>
        <w:rPr>
          <w:rStyle w:val="Style15"/>
        </w:rPr>
        <w:t xml:space="preserve"> расчета показателя "Уровень развития сферы государственно-частного партнерства в субъекте Российской Федерации" за 2020 и последующие годы, утвержденной </w:t>
      </w:r>
      <w:hyperlink w:anchor="sub_0">
        <w:r>
          <w:rPr>
            <w:rStyle w:val="ListLabel5"/>
            <w:rFonts w:ascii="Times New Roman" w:hAnsi="Times New Roman"/>
            <w:b w:val="false"/>
            <w:color w:val="106BBE"/>
          </w:rPr>
          <w:t>приказом</w:t>
        </w:r>
      </w:hyperlink>
      <w:r>
        <w:rPr>
          <w:rStyle w:val="Style15"/>
        </w:rPr>
        <w:t xml:space="preserve"> Минэкономразвития России от 19 декабря 2019 г. N 816.</w:t>
      </w:r>
    </w:p>
    <w:p>
      <w:pPr>
        <w:pStyle w:val="Normal"/>
        <w:rPr/>
      </w:pPr>
      <w:bookmarkStart w:id="249" w:name="sub_2003_Копия_1"/>
      <w:bookmarkStart w:id="250" w:name="sub_2003"/>
      <w:bookmarkEnd w:id="249"/>
      <w:bookmarkEnd w:id="250"/>
      <w:r>
        <w:rPr>
          <w:rStyle w:val="Style15"/>
        </w:rPr>
        <w:t>3. Рейтинг представляет собой упорядоченный по уровню развития сферы государственно-частного партнерства перечень субъектов Российской Федерации с указанием позиций каждого из субъектов Российской Федерации.</w:t>
      </w:r>
    </w:p>
    <w:p>
      <w:pPr>
        <w:pStyle w:val="Normal"/>
        <w:rPr/>
      </w:pPr>
      <w:bookmarkStart w:id="251" w:name="sub_2003_Копия_2"/>
      <w:bookmarkEnd w:id="251"/>
      <w:r>
        <w:rPr>
          <w:rStyle w:val="Style15"/>
        </w:rPr>
        <w:t>Под позицией i-го субъекта Российской Федерации в рейтинге (РГ</w:t>
      </w:r>
      <w:r>
        <w:rPr>
          <w:rStyle w:val="Style15"/>
          <w:vertAlign w:val="subscript"/>
        </w:rPr>
        <w:t> i</w:t>
      </w:r>
      <w:r>
        <w:rPr>
          <w:rStyle w:val="Style15"/>
        </w:rPr>
        <w:t>, где i - порядковый номер субъекта Российской Федерации, принимающий значение от 1 до 85) понимается показатель, принимающий значение от 1 до 85 и характеризующий уровень развития сферы государственно-частного партнерства в i-м субъекте Российской Федерации относительно остальных субъектов Российской Федерации, по которым формируется рейтинг.</w:t>
      </w:r>
    </w:p>
    <w:p>
      <w:pPr>
        <w:pStyle w:val="Normal"/>
        <w:rPr/>
      </w:pPr>
      <w:bookmarkStart w:id="252" w:name="sub_2004"/>
      <w:bookmarkEnd w:id="252"/>
      <w:r>
        <w:rPr>
          <w:rStyle w:val="Style15"/>
        </w:rPr>
        <w:t>4. Для определения позиции i-го субъекта Российской Федерации в рейтинге (РГ</w:t>
      </w:r>
      <w:r>
        <w:rPr>
          <w:rStyle w:val="Style15"/>
          <w:vertAlign w:val="subscript"/>
        </w:rPr>
        <w:t> i</w:t>
      </w:r>
      <w:r>
        <w:rPr>
          <w:rStyle w:val="Style15"/>
        </w:rPr>
        <w:t>) все субъекты Российской Федерации, по которым формируется рейтинг, распределяются на три группы в зависимости от балльных значений следующих факторов: фактора динамики реализации проектов ГЧП в i-м субъекте Российской Федерации за отчетный год (БД</w:t>
      </w:r>
      <w:r>
        <w:rPr>
          <w:rStyle w:val="Style15"/>
          <w:vertAlign w:val="subscript"/>
        </w:rPr>
        <w:t> i</w:t>
      </w:r>
      <w:r>
        <w:rPr>
          <w:rStyle w:val="Style15"/>
        </w:rPr>
        <w:t>), фактора накопленного до отчетного года опыта реализации проектов ГЧП в i-м субъекте Российской Федерации (БО</w:t>
      </w:r>
      <w:r>
        <w:rPr>
          <w:rStyle w:val="Style15"/>
          <w:vertAlign w:val="subscript"/>
        </w:rPr>
        <w:t> i</w:t>
      </w:r>
      <w:r>
        <w:rPr>
          <w:rStyle w:val="Style15"/>
        </w:rPr>
        <w:t>), фактора состояния нормативно-институциональной среды в i-м субъекте Российской Федерации (БС</w:t>
      </w:r>
      <w:r>
        <w:rPr>
          <w:rStyle w:val="Style15"/>
          <w:vertAlign w:val="subscript"/>
        </w:rPr>
        <w:t> i</w:t>
      </w:r>
      <w:r>
        <w:rPr>
          <w:rStyle w:val="Style15"/>
        </w:rPr>
        <w:t>).</w:t>
      </w:r>
    </w:p>
    <w:p>
      <w:pPr>
        <w:pStyle w:val="Normal"/>
        <w:rPr/>
      </w:pPr>
      <w:bookmarkStart w:id="253" w:name="sub_2004_Копия_1"/>
      <w:bookmarkEnd w:id="253"/>
      <w:r>
        <w:rPr>
          <w:rStyle w:val="Style15"/>
        </w:rPr>
        <w:t>В состав первой группы включаются h субъектов Российской Федерации, имеющих отличную от нуля балльную оценку каждого из факторов БД</w:t>
      </w:r>
      <w:r>
        <w:rPr>
          <w:rStyle w:val="Style15"/>
          <w:vertAlign w:val="subscript"/>
        </w:rPr>
        <w:t> i</w:t>
      </w:r>
      <w:r>
        <w:rPr>
          <w:rStyle w:val="Style15"/>
        </w:rPr>
        <w:t xml:space="preserve"> и БО</w:t>
      </w:r>
      <w:r>
        <w:rPr>
          <w:rStyle w:val="Style15"/>
          <w:vertAlign w:val="subscript"/>
        </w:rPr>
        <w:t> i</w:t>
      </w:r>
      <w:r>
        <w:rPr>
          <w:rStyle w:val="Style15"/>
        </w:rPr>
        <w:t>.</w:t>
      </w:r>
    </w:p>
    <w:p>
      <w:pPr>
        <w:pStyle w:val="Normal"/>
        <w:rPr/>
      </w:pPr>
      <w:r>
        <w:rPr>
          <w:rStyle w:val="Style15"/>
        </w:rPr>
        <w:t>В состав второй группы включаются g субъектов Российской Федерации, имеющих отличную от нуля балльную оценку одного из факторов (БД</w:t>
      </w:r>
      <w:r>
        <w:rPr>
          <w:rStyle w:val="Style15"/>
          <w:vertAlign w:val="subscript"/>
        </w:rPr>
        <w:t> i</w:t>
      </w:r>
      <w:r>
        <w:rPr>
          <w:rStyle w:val="Style15"/>
        </w:rPr>
        <w:t xml:space="preserve"> либо БО</w:t>
      </w:r>
      <w:r>
        <w:rPr>
          <w:rStyle w:val="Style15"/>
          <w:vertAlign w:val="subscript"/>
        </w:rPr>
        <w:t> i</w:t>
      </w:r>
      <w:r>
        <w:rPr>
          <w:rStyle w:val="Style15"/>
        </w:rPr>
        <w:t>).</w:t>
      </w:r>
    </w:p>
    <w:p>
      <w:pPr>
        <w:pStyle w:val="Normal"/>
        <w:rPr/>
      </w:pPr>
      <w:r>
        <w:rPr>
          <w:rStyle w:val="Style15"/>
        </w:rPr>
        <w:t>В состав третьей группы включаются s субъектов Российской Федерации, имеющих балльную оценку каждого из факторов БД</w:t>
      </w:r>
      <w:r>
        <w:rPr>
          <w:rStyle w:val="Style15"/>
          <w:vertAlign w:val="subscript"/>
        </w:rPr>
        <w:t> i</w:t>
      </w:r>
      <w:r>
        <w:rPr>
          <w:rStyle w:val="Style15"/>
        </w:rPr>
        <w:t xml:space="preserve"> и БО</w:t>
      </w:r>
      <w:r>
        <w:rPr>
          <w:rStyle w:val="Style15"/>
          <w:vertAlign w:val="subscript"/>
        </w:rPr>
        <w:t> i</w:t>
      </w:r>
      <w:r>
        <w:rPr>
          <w:rStyle w:val="Style15"/>
        </w:rPr>
        <w:t>, равную нулю.</w:t>
      </w:r>
    </w:p>
    <w:p>
      <w:pPr>
        <w:pStyle w:val="Normal"/>
        <w:rPr/>
      </w:pPr>
      <w:bookmarkStart w:id="254" w:name="sub_2005"/>
      <w:bookmarkEnd w:id="254"/>
      <w:r>
        <w:rPr>
          <w:rStyle w:val="Style15"/>
        </w:rPr>
        <w:t>5. Сумма значений h, g и s должна быть равна восьмидесяти пяти.</w:t>
      </w:r>
    </w:p>
    <w:p>
      <w:pPr>
        <w:pStyle w:val="Normal"/>
        <w:rPr/>
      </w:pPr>
      <w:bookmarkStart w:id="255" w:name="sub_2006_Копия_1"/>
      <w:bookmarkStart w:id="256" w:name="sub_2006"/>
      <w:bookmarkEnd w:id="255"/>
      <w:bookmarkEnd w:id="256"/>
      <w:r>
        <w:rPr>
          <w:rStyle w:val="Style15"/>
        </w:rPr>
        <w:t>6. Формирование рейтинга осуществляется исходя из распределения первых h позиций между субъектами Российской Федерации, входящими в состав первой группы, следующих g позиций между субъектами Российской Федерации, входящими в состав второй группы, и последних s позиций между субъектами Российской Федерации, входящими в состав третьей группы.</w:t>
      </w:r>
    </w:p>
    <w:p>
      <w:pPr>
        <w:pStyle w:val="Normal"/>
        <w:rPr/>
      </w:pPr>
      <w:bookmarkStart w:id="257" w:name="sub_2007_Копия_1"/>
      <w:bookmarkStart w:id="258" w:name="sub_2007"/>
      <w:bookmarkEnd w:id="257"/>
      <w:bookmarkEnd w:id="258"/>
      <w:r>
        <w:rPr>
          <w:rStyle w:val="Style15"/>
        </w:rPr>
        <w:t>7. Распределение позиций между субъектами Российской Федерации, входящими в состав одной группы, осуществляется на основании ранжирования таких субъектов Российской Федерации по показателю, с присвоением более высоких мест субъектам Российской Федерации, имеющим более высокое относительно других субъектов Российской Федерации значение показателя.</w:t>
      </w:r>
    </w:p>
    <w:p>
      <w:pPr>
        <w:pStyle w:val="Normal"/>
        <w:rPr/>
      </w:pPr>
      <w:r>
        <w:rPr/>
      </w:r>
      <w:bookmarkStart w:id="259" w:name="sub_2007_Копия_3"/>
      <w:bookmarkStart w:id="260" w:name="sub_2007_Копия_2"/>
      <w:bookmarkStart w:id="261" w:name="sub_2007_Копия_3"/>
      <w:bookmarkStart w:id="262" w:name="sub_2007_Копия_2"/>
      <w:bookmarkEnd w:id="261"/>
      <w:bookmarkEnd w:id="262"/>
    </w:p>
    <w:sectPr>
      <w:headerReference w:type="even" r:id="rId117"/>
      <w:headerReference w:type="default" r:id="rId118"/>
      <w:headerReference w:type="first" r:id="rId119"/>
      <w:footerReference w:type="even" r:id="rId120"/>
      <w:footerReference w:type="default" r:id="rId121"/>
      <w:footerReference w:type="first" r:id="rId122"/>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19.12.2025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17</w:t>
          </w:r>
          <w:r>
            <w:rPr/>
            <w:fldChar w:fldCharType="end"/>
          </w:r>
          <w:r>
            <w:rPr/>
            <w:t>/</w:t>
          </w:r>
          <w:r>
            <w:rPr/>
            <w:fldChar w:fldCharType="begin"/>
          </w:r>
          <w:r>
            <w:rPr/>
            <w:instrText xml:space="preserve"> NUMPAGES </w:instrText>
          </w:r>
          <w:r>
            <w:rPr/>
            <w:fldChar w:fldCharType="separate"/>
          </w:r>
          <w:r>
            <w:rPr/>
            <w:t>17</w:t>
          </w:r>
          <w:r>
            <w:rPr/>
            <w:fldChar w:fldCharType="end"/>
          </w:r>
        </w:p>
      </w:tc>
    </w:tr>
  </w:tbl>
  <w:p>
    <w:pPr>
      <w:pStyle w:val="Normal"/>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bidi w:val="0"/>
            <w:ind w:hanging="0" w:left="0"/>
            <w:rPr/>
          </w:pPr>
          <w:r>
            <w:rPr/>
            <w:fldChar w:fldCharType="begin"/>
          </w:r>
          <w:r>
            <w:rPr/>
            <w:instrText xml:space="preserve"> CREATEDATE \@"dd.MM.yyyy" </w:instrText>
          </w:r>
          <w:r>
            <w:rPr/>
            <w:fldChar w:fldCharType="separate"/>
          </w:r>
          <w:r>
            <w:rPr/>
            <w:t>19.12.2025</w:t>
          </w:r>
          <w:r>
            <w:rPr/>
            <w:fldChar w:fldCharType="end"/>
          </w:r>
          <w:r>
            <w:rPr/>
            <w:t xml:space="preserve"> </w:t>
          </w:r>
        </w:p>
      </w:tc>
      <w:tc>
        <w:tcPr>
          <w:tcW w:w="3433" w:type="dxa"/>
          <w:tcBorders/>
        </w:tcPr>
        <w:p>
          <w:pPr>
            <w:pStyle w:val="Footer"/>
            <w:tabs>
              <w:tab w:val="clear" w:pos="720"/>
            </w:tabs>
            <w:bidi w:val="0"/>
            <w:ind w:hanging="0" w:left="0"/>
            <w:jc w:val="center"/>
            <w:rPr/>
          </w:pPr>
          <w:r>
            <w:rPr/>
            <w:t>Система ГАРАНТ</w:t>
          </w:r>
        </w:p>
      </w:tc>
      <w:tc>
        <w:tcPr>
          <w:tcW w:w="3433" w:type="dxa"/>
          <w:tcBorders/>
        </w:tcPr>
        <w:p>
          <w:pPr>
            <w:pStyle w:val="Footer"/>
            <w:tabs>
              <w:tab w:val="clear" w:pos="720"/>
            </w:tabs>
            <w:bidi w:val="0"/>
            <w:ind w:hanging="0" w:left="0"/>
            <w:jc w:val="right"/>
            <w:rPr/>
          </w:pPr>
          <w:r>
            <w:rPr/>
            <w:fldChar w:fldCharType="begin"/>
          </w:r>
          <w:r>
            <w:rPr/>
            <w:instrText xml:space="preserve"> PAGE </w:instrText>
          </w:r>
          <w:r>
            <w:rPr/>
            <w:fldChar w:fldCharType="separate"/>
          </w:r>
          <w:r>
            <w:rPr/>
            <w:t>17</w:t>
          </w:r>
          <w:r>
            <w:rPr/>
            <w:fldChar w:fldCharType="end"/>
          </w:r>
          <w:r>
            <w:rPr/>
            <w:t>/</w:t>
          </w:r>
          <w:r>
            <w:rPr/>
            <w:fldChar w:fldCharType="begin"/>
          </w:r>
          <w:r>
            <w:rPr/>
            <w:instrText xml:space="preserve"> NUMPAGES </w:instrText>
          </w:r>
          <w:r>
            <w:rPr/>
            <w:fldChar w:fldCharType="separate"/>
          </w:r>
          <w:r>
            <w:rPr/>
            <w:t>17</w:t>
          </w:r>
          <w:r>
            <w:rPr/>
            <w:fldChar w:fldCharType="end"/>
          </w:r>
        </w:p>
      </w:tc>
    </w:tr>
  </w:tbl>
  <w:p>
    <w:pPr>
      <w:pStyle w:val="Normal"/>
      <w:ind w:hanging="0"/>
      <w:jc w:val="left"/>
      <w:rPr>
        <w:rFonts w:ascii="Arial" w:hAnsi="Arial"/>
      </w:rPr>
    </w:pPr>
    <w:r>
      <w:rPr>
        <w:rFonts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left="0"/>
      <w:jc w:val="left"/>
      <w:rPr/>
    </w:pPr>
    <w:r>
      <w:rPr/>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suppressAutoHyphens w:val="false"/>
      <w:spacing w:before="108" w:after="108"/>
      <w:ind w:hanging="0"/>
      <w:jc w:val="center"/>
    </w:pPr>
    <w:rPr>
      <w:rFonts w:ascii="Times New Roman CYR" w:hAnsi="Times New Roman CYR" w:eastAsia="Symbol" w:cs="Wingdings"/>
      <w:b/>
      <w:color w:val="26282F"/>
      <w:sz w:val="24"/>
      <w:szCs w:val="24"/>
    </w:rPr>
  </w:style>
  <w:style w:type="character" w:styleId="Style13">
    <w:name w:val="Гипертекстовая ссылка"/>
    <w:qFormat/>
    <w:rPr>
      <w:rFonts w:ascii="Times New Roman" w:hAnsi="Times New Roman" w:eastAsia="Times New Roman" w:cs="Times New Roman"/>
      <w:b w:val="false"/>
      <w:color w:val="106BBE"/>
      <w:szCs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InternetLink">
    <w:name w:val="Internet Link"/>
    <w:qFormat/>
    <w:rPr>
      <w:color w:val="000080"/>
      <w:u w:val="single"/>
    </w:rPr>
  </w:style>
  <w:style w:type="character" w:styleId="Hyperlink">
    <w:name w:val="Hyperlink"/>
    <w:rPr>
      <w:color w:val="000080"/>
      <w:u w:val="single"/>
    </w:rPr>
  </w:style>
  <w:style w:type="paragraph" w:styleId="Style16">
    <w:name w:val="Заголовок"/>
    <w:basedOn w:val="Normal"/>
    <w:next w:val="BodyText"/>
    <w:qFormat/>
    <w:pPr>
      <w:keepNext w:val="true"/>
      <w:suppressAutoHyphens w:val="false"/>
      <w:spacing w:before="240" w:after="120"/>
      <w:ind w:firstLine="720"/>
      <w:jc w:val="both"/>
    </w:pPr>
    <w:rPr>
      <w:rFonts w:ascii="Liberation Sans" w:hAnsi="Liberation Sans" w:eastAsia="Tahoma" w:cs="Droid Sans"/>
      <w:sz w:val="28"/>
      <w:szCs w:val="28"/>
    </w:rPr>
  </w:style>
  <w:style w:type="paragraph" w:styleId="BodyText">
    <w:name w:val="Body Text"/>
    <w:basedOn w:val="Normal"/>
    <w:pPr>
      <w:suppressAutoHyphens w:val="false"/>
      <w:spacing w:lineRule="auto" w:line="276" w:before="0" w:after="140"/>
      <w:ind w:firstLine="720"/>
      <w:jc w:val="both"/>
    </w:pPr>
    <w:rPr>
      <w:rFonts w:ascii="Times New Roman CYR" w:hAnsi="Times New Roman CYR" w:eastAsia="Symbol" w:cs="Wingdings"/>
      <w:sz w:val="24"/>
      <w:szCs w:val="24"/>
    </w:rPr>
  </w:style>
  <w:style w:type="paragraph" w:styleId="List">
    <w:name w:val="List"/>
    <w:basedOn w:val="BodyText"/>
    <w:pPr>
      <w:suppressAutoHyphens w:val="false"/>
      <w:spacing w:lineRule="auto" w:line="276" w:before="0" w:after="140"/>
      <w:ind w:firstLine="720"/>
      <w:jc w:val="both"/>
    </w:pPr>
    <w:rPr>
      <w:rFonts w:ascii="Times New Roman CYR" w:hAnsi="Times New Roman CYR" w:eastAsia="Symbol" w:cs="Droid Sans"/>
      <w:sz w:val="24"/>
      <w:szCs w:val="24"/>
    </w:rPr>
  </w:style>
  <w:style w:type="paragraph" w:styleId="Caption">
    <w:name w:val="Caption"/>
    <w:basedOn w:val="Normal"/>
    <w:qFormat/>
    <w:pPr>
      <w:suppressAutoHyphens w:val="false"/>
      <w:spacing w:before="120" w:after="120"/>
      <w:ind w:firstLine="720"/>
      <w:jc w:val="both"/>
    </w:pPr>
    <w:rPr>
      <w:rFonts w:ascii="Times New Roman CYR" w:hAnsi="Times New Roman CYR" w:eastAsia="Symbol" w:cs="Droid Sans"/>
      <w:i/>
      <w:iCs/>
      <w:sz w:val="24"/>
      <w:szCs w:val="24"/>
    </w:rPr>
  </w:style>
  <w:style w:type="paragraph" w:styleId="Style17">
    <w:name w:val="Указатель"/>
    <w:basedOn w:val="Normal"/>
    <w:qFormat/>
    <w:pPr>
      <w:suppressAutoHyphens w:val="false"/>
      <w:spacing w:before="0" w:after="0"/>
      <w:ind w:firstLine="720"/>
      <w:jc w:val="both"/>
    </w:pPr>
    <w:rPr>
      <w:rFonts w:ascii="Times New Roman CYR" w:hAnsi="Times New Roman CYR" w:eastAsia="Symbol" w:cs="Droid Sans"/>
      <w:sz w:val="24"/>
      <w:szCs w:val="24"/>
    </w:rPr>
  </w:style>
  <w:style w:type="paragraph" w:styleId="Style18">
    <w:name w:val="Таблицы (моноширинный)"/>
    <w:basedOn w:val="Normal"/>
    <w:next w:val="Normal"/>
    <w:qFormat/>
    <w:pPr>
      <w:suppressAutoHyphens w:val="false"/>
      <w:spacing w:before="0" w:after="0"/>
      <w:ind w:hanging="0"/>
      <w:jc w:val="both"/>
    </w:pPr>
    <w:rPr>
      <w:rFonts w:ascii="Courier New" w:hAnsi="Courier New" w:eastAsia="Symbol" w:cs="Wingdings"/>
      <w:sz w:val="24"/>
      <w:szCs w:val="24"/>
    </w:rPr>
  </w:style>
  <w:style w:type="paragraph" w:styleId="Style19">
    <w:name w:val="Комментарий"/>
    <w:next w:val="Normal"/>
    <w:qFormat/>
    <w:pPr>
      <w:widowControl w:val="false"/>
      <w:suppressAutoHyphens w:val="false"/>
      <w:bidi w:val="0"/>
      <w:spacing w:before="75" w:after="0"/>
      <w:ind w:hanging="0" w:left="170" w:right="170"/>
      <w:jc w:val="both"/>
    </w:pPr>
    <w:rPr>
      <w:rFonts w:ascii="Times New Roman CYR" w:hAnsi="Times New Roman CYR" w:eastAsia="Symbol" w:cs="Wingdings"/>
      <w:color w:val="353842"/>
      <w:kern w:val="2"/>
      <w:sz w:val="24"/>
      <w:szCs w:val="24"/>
      <w:lang w:val="ru-RU" w:eastAsia="zh-CN" w:bidi="hi-IN"/>
    </w:rPr>
  </w:style>
  <w:style w:type="paragraph" w:styleId="Style20">
    <w:name w:val="Текст (справка)"/>
    <w:basedOn w:val="Normal"/>
    <w:next w:val="Normal"/>
    <w:qFormat/>
    <w:pPr>
      <w:suppressAutoHyphens w:val="false"/>
      <w:spacing w:before="0" w:after="0"/>
      <w:ind w:hanging="0" w:left="170" w:right="170"/>
      <w:jc w:val="left"/>
    </w:pPr>
    <w:rPr>
      <w:rFonts w:ascii="Times New Roman CYR" w:hAnsi="Times New Roman CYR" w:eastAsia="Symbol" w:cs="Wingdings"/>
      <w:sz w:val="24"/>
      <w:szCs w:val="24"/>
    </w:rPr>
  </w:style>
  <w:style w:type="paragraph" w:styleId="Style21">
    <w:name w:val="Прижатый влево"/>
    <w:basedOn w:val="Normal"/>
    <w:next w:val="Normal"/>
    <w:qFormat/>
    <w:pPr>
      <w:suppressAutoHyphens w:val="false"/>
      <w:spacing w:before="0" w:after="0"/>
      <w:ind w:hanging="0"/>
      <w:jc w:val="left"/>
    </w:pPr>
    <w:rPr>
      <w:rFonts w:ascii="Times New Roman CYR" w:hAnsi="Times New Roman CYR" w:eastAsia="Symbol" w:cs="Wingdings"/>
      <w:sz w:val="24"/>
      <w:szCs w:val="24"/>
    </w:rPr>
  </w:style>
  <w:style w:type="paragraph" w:styleId="Style22">
    <w:name w:val="Нормальный (таблица)"/>
    <w:basedOn w:val="Normal"/>
    <w:next w:val="Normal"/>
    <w:qFormat/>
    <w:pPr>
      <w:suppressAutoHyphens w:val="false"/>
      <w:spacing w:before="0" w:after="0"/>
      <w:ind w:hanging="0"/>
      <w:jc w:val="both"/>
    </w:pPr>
    <w:rPr>
      <w:rFonts w:ascii="Times New Roman CYR" w:hAnsi="Times New Roman CYR" w:eastAsia="Symbol" w:cs="Wingdings"/>
      <w:sz w:val="24"/>
      <w:szCs w:val="24"/>
    </w:rPr>
  </w:style>
  <w:style w:type="paragraph" w:styleId="Style23">
    <w:name w:val="Информация о версии"/>
    <w:basedOn w:val="Style19"/>
    <w:next w:val="Normal"/>
    <w:qFormat/>
    <w:pPr>
      <w:suppressAutoHyphens w:val="false"/>
      <w:spacing w:before="75" w:after="0"/>
      <w:ind w:hanging="0" w:left="170" w:right="170"/>
      <w:jc w:val="both"/>
    </w:pPr>
    <w:rPr>
      <w:rFonts w:ascii="Times New Roman CYR" w:hAnsi="Times New Roman CYR" w:eastAsia="Symbol" w:cs="Wingdings"/>
      <w:i/>
      <w:color w:val="353842"/>
      <w:sz w:val="24"/>
      <w:szCs w:val="24"/>
    </w:rPr>
  </w:style>
  <w:style w:type="paragraph" w:styleId="Style24">
    <w:name w:val="Информация об изменениях"/>
    <w:next w:val="Normal"/>
    <w:qFormat/>
    <w:pPr>
      <w:widowControl w:val="false"/>
      <w:suppressAutoHyphens w:val="false"/>
      <w:bidi w:val="0"/>
      <w:spacing w:before="180" w:after="0"/>
      <w:ind w:hanging="0" w:left="360" w:right="360"/>
      <w:jc w:val="both"/>
    </w:pPr>
    <w:rPr>
      <w:rFonts w:ascii="Times New Roman CYR" w:hAnsi="Times New Roman CYR" w:eastAsia="Symbol" w:cs="Wingdings"/>
      <w:color w:val="353842"/>
      <w:kern w:val="2"/>
      <w:sz w:val="20"/>
      <w:szCs w:val="24"/>
      <w:lang w:val="ru-RU" w:eastAsia="zh-CN" w:bidi="hi-IN"/>
    </w:rPr>
  </w:style>
  <w:style w:type="paragraph" w:styleId="Style25">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eastAsia="Symbol" w:cs="Wingdings"/>
      <w:color w:val="353842"/>
      <w:sz w:val="20"/>
      <w:szCs w:val="24"/>
    </w:rPr>
  </w:style>
  <w:style w:type="paragraph" w:styleId="Style26">
    <w:name w:val="Подзаголовок для информации об изменениях"/>
    <w:basedOn w:val="Style25"/>
    <w:next w:val="Normal"/>
    <w:qFormat/>
    <w:pPr>
      <w:suppressAutoHyphens w:val="false"/>
      <w:spacing w:before="0" w:after="0"/>
      <w:ind w:firstLine="720"/>
      <w:jc w:val="both"/>
    </w:pPr>
    <w:rPr>
      <w:rFonts w:ascii="Times New Roman CYR" w:hAnsi="Times New Roman CYR" w:eastAsia="Symbol" w:cs="Wingdings"/>
      <w:b/>
      <w:color w:val="353842"/>
      <w:sz w:val="20"/>
      <w:szCs w:val="24"/>
    </w:rPr>
  </w:style>
  <w:style w:type="paragraph" w:styleId="FootnoteText">
    <w:name w:val="Footnote Text"/>
    <w:basedOn w:val="Normal"/>
    <w:next w:val="Normal"/>
    <w:pPr>
      <w:suppressAutoHyphens w:val="false"/>
      <w:spacing w:before="0" w:after="0"/>
      <w:ind w:firstLine="720"/>
      <w:jc w:val="both"/>
    </w:pPr>
    <w:rPr>
      <w:rFonts w:ascii="Times New Roman CYR" w:hAnsi="Times New Roman CYR" w:eastAsia="Symbol" w:cs="Wingdings"/>
      <w:sz w:val="20"/>
      <w:szCs w:val="24"/>
    </w:rPr>
  </w:style>
  <w:style w:type="paragraph" w:styleId="HeaderandFooter">
    <w:name w:val="Header and Footer"/>
    <w:basedOn w:val="Normal"/>
    <w:qFormat/>
    <w:pPr>
      <w:suppressAutoHyphens w:val="false"/>
      <w:spacing w:before="0" w:after="0"/>
      <w:ind w:firstLine="720"/>
      <w:jc w:val="both"/>
    </w:pPr>
    <w:rPr>
      <w:rFonts w:ascii="Times New Roman CYR" w:hAnsi="Times New Roman CYR" w:eastAsia="Symbol" w:cs="Wingdings"/>
      <w:sz w:val="24"/>
      <w:szCs w:val="24"/>
    </w:rPr>
  </w:style>
  <w:style w:type="paragraph" w:styleId="Header">
    <w:name w:val="Header"/>
    <w:basedOn w:val="Normal"/>
    <w:next w:val="Normal"/>
    <w:pPr>
      <w:suppressAutoHyphens w:val="false"/>
      <w:spacing w:before="0" w:after="0"/>
      <w:ind w:hanging="0"/>
      <w:jc w:val="center"/>
    </w:pPr>
    <w:rPr>
      <w:rFonts w:ascii="Times New Roman" w:hAnsi="Times New Roman" w:eastAsia="Symbol" w:cs="Wingdings"/>
      <w:sz w:val="20"/>
      <w:szCs w:val="24"/>
    </w:rPr>
  </w:style>
  <w:style w:type="paragraph" w:styleId="Footer">
    <w:name w:val="Footer"/>
    <w:basedOn w:val="Normal"/>
    <w:next w:val="Normal"/>
    <w:pPr>
      <w:suppressAutoHyphens w:val="false"/>
      <w:spacing w:before="0" w:after="0"/>
      <w:ind w:hanging="0"/>
      <w:jc w:val="left"/>
    </w:pPr>
    <w:rPr>
      <w:rFonts w:ascii="Times New Roman" w:hAnsi="Times New Roman" w:eastAsia="Symbol" w:cs="Wingdings"/>
      <w:sz w:val="20"/>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73321481/0" TargetMode="External"/><Relationship Id="rId3" Type="http://schemas.openxmlformats.org/officeDocument/2006/relationships/hyperlink" Target="https://internet.garant.ru/document/redirect/71375490/0" TargetMode="External"/><Relationship Id="rId4" Type="http://schemas.openxmlformats.org/officeDocument/2006/relationships/hyperlink" Target="https://internet.garant.ru/document/redirect/197043/0" TargetMode="External"/><Relationship Id="rId5" Type="http://schemas.openxmlformats.org/officeDocument/2006/relationships/hyperlink" Target="https://internet.garant.ru/document/redirect/402655848/1001" TargetMode="External"/><Relationship Id="rId6" Type="http://schemas.openxmlformats.org/officeDocument/2006/relationships/hyperlink" Target="https://internet.garant.ru/document/redirect/77312444/3" TargetMode="External"/><Relationship Id="rId7" Type="http://schemas.openxmlformats.org/officeDocument/2006/relationships/hyperlink" Target="https://internet.garant.ru/document/redirect/402655848/1002" TargetMode="External"/><Relationship Id="rId8" Type="http://schemas.openxmlformats.org/officeDocument/2006/relationships/hyperlink" Target="https://internet.garant.ru/document/redirect/77312444/4" TargetMode="External"/><Relationship Id="rId9" Type="http://schemas.openxmlformats.org/officeDocument/2006/relationships/hyperlink" Target="https://internet.garant.ru/document/redirect/71375490/0" TargetMode="External"/><Relationship Id="rId10" Type="http://schemas.openxmlformats.org/officeDocument/2006/relationships/hyperlink" Target="https://internet.garant.ru/document/redirect/12141176/0" TargetMode="External"/><Relationship Id="rId11" Type="http://schemas.openxmlformats.org/officeDocument/2006/relationships/hyperlink" Target="https://internet.garant.ru/document/redirect/71129190/0" TargetMode="External"/><Relationship Id="rId12" Type="http://schemas.openxmlformats.org/officeDocument/2006/relationships/hyperlink" Target="https://internet.garant.ru/document/redirect/197043/0" TargetMode="External"/><Relationship Id="rId13" Type="http://schemas.openxmlformats.org/officeDocument/2006/relationships/hyperlink" Target="https://internet.garant.ru/document/redirect/990941/243" TargetMode="External"/><Relationship Id="rId14" Type="http://schemas.openxmlformats.org/officeDocument/2006/relationships/hyperlink" Target="https://internet.garant.ru/document/redirect/400186896/1001" TargetMode="External"/><Relationship Id="rId15" Type="http://schemas.openxmlformats.org/officeDocument/2006/relationships/hyperlink" Target="https://internet.garant.ru/document/redirect/77707241/1005" TargetMode="External"/><Relationship Id="rId16" Type="http://schemas.openxmlformats.org/officeDocument/2006/relationships/hyperlink" Target="https://internet.garant.ru/document/redirect/408408457/1001" TargetMode="External"/><Relationship Id="rId17" Type="http://schemas.openxmlformats.org/officeDocument/2006/relationships/hyperlink" Target="https://internet.garant.ru/document/redirect/76829225/1006" TargetMode="External"/><Relationship Id="rId18" Type="http://schemas.openxmlformats.org/officeDocument/2006/relationships/image" Target="media/image1.wmf"/><Relationship Id="rId19" Type="http://schemas.openxmlformats.org/officeDocument/2006/relationships/image" Target="media/image2.wmf"/><Relationship Id="rId20" Type="http://schemas.openxmlformats.org/officeDocument/2006/relationships/image" Target="media/image3.wmf"/><Relationship Id="rId21" Type="http://schemas.openxmlformats.org/officeDocument/2006/relationships/image" Target="media/image4.wmf"/><Relationship Id="rId22" Type="http://schemas.openxmlformats.org/officeDocument/2006/relationships/image" Target="media/image5.wmf"/><Relationship Id="rId23" Type="http://schemas.openxmlformats.org/officeDocument/2006/relationships/image" Target="media/image6.wmf"/><Relationship Id="rId24" Type="http://schemas.openxmlformats.org/officeDocument/2006/relationships/image" Target="media/image7.wmf"/><Relationship Id="rId25" Type="http://schemas.openxmlformats.org/officeDocument/2006/relationships/image" Target="media/image8.wmf"/><Relationship Id="rId26" Type="http://schemas.openxmlformats.org/officeDocument/2006/relationships/image" Target="media/image9.wmf"/><Relationship Id="rId27" Type="http://schemas.openxmlformats.org/officeDocument/2006/relationships/hyperlink" Target="https://internet.garant.ru/document/redirect/402655848/10032" TargetMode="External"/><Relationship Id="rId28" Type="http://schemas.openxmlformats.org/officeDocument/2006/relationships/hyperlink" Target="https://internet.garant.ru/document/redirect/77312444/1007" TargetMode="External"/><Relationship Id="rId29" Type="http://schemas.openxmlformats.org/officeDocument/2006/relationships/image" Target="media/image10.wmf"/><Relationship Id="rId30" Type="http://schemas.openxmlformats.org/officeDocument/2006/relationships/hyperlink" Target="https://internet.garant.ru/document/redirect/402655848/10033" TargetMode="External"/><Relationship Id="rId31" Type="http://schemas.openxmlformats.org/officeDocument/2006/relationships/hyperlink" Target="https://internet.garant.ru/document/redirect/77312444/1008" TargetMode="External"/><Relationship Id="rId32" Type="http://schemas.openxmlformats.org/officeDocument/2006/relationships/image" Target="media/image11.wmf"/><Relationship Id="rId33" Type="http://schemas.openxmlformats.org/officeDocument/2006/relationships/hyperlink" Target="https://internet.garant.ru/document/redirect/402655848/10034" TargetMode="External"/><Relationship Id="rId34" Type="http://schemas.openxmlformats.org/officeDocument/2006/relationships/hyperlink" Target="https://internet.garant.ru/document/redirect/77312444/1011" TargetMode="External"/><Relationship Id="rId35" Type="http://schemas.openxmlformats.org/officeDocument/2006/relationships/hyperlink" Target="https://internet.garant.ru/document/redirect/408408457/1002" TargetMode="External"/><Relationship Id="rId36" Type="http://schemas.openxmlformats.org/officeDocument/2006/relationships/hyperlink" Target="https://internet.garant.ru/document/redirect/76829225/1012" TargetMode="External"/><Relationship Id="rId37" Type="http://schemas.openxmlformats.org/officeDocument/2006/relationships/hyperlink" Target="https://internet.garant.ru/document/redirect/402655848/10035" TargetMode="External"/><Relationship Id="rId38" Type="http://schemas.openxmlformats.org/officeDocument/2006/relationships/hyperlink" Target="https://internet.garant.ru/document/redirect/77312444/1013" TargetMode="External"/><Relationship Id="rId39" Type="http://schemas.openxmlformats.org/officeDocument/2006/relationships/hyperlink" Target="https://internet.garant.ru/document/redirect/402655848/10036" TargetMode="External"/><Relationship Id="rId40" Type="http://schemas.openxmlformats.org/officeDocument/2006/relationships/hyperlink" Target="https://internet.garant.ru/document/redirect/77312444/1014" TargetMode="External"/><Relationship Id="rId41" Type="http://schemas.openxmlformats.org/officeDocument/2006/relationships/hyperlink" Target="https://internet.garant.ru/document/redirect/402655848/10037" TargetMode="External"/><Relationship Id="rId42" Type="http://schemas.openxmlformats.org/officeDocument/2006/relationships/hyperlink" Target="https://internet.garant.ru/document/redirect/77312444/1016" TargetMode="External"/><Relationship Id="rId43" Type="http://schemas.openxmlformats.org/officeDocument/2006/relationships/hyperlink" Target="https://internet.garant.ru/document/redirect/402655848/10037" TargetMode="External"/><Relationship Id="rId44" Type="http://schemas.openxmlformats.org/officeDocument/2006/relationships/hyperlink" Target="https://internet.garant.ru/document/redirect/77312444/1017" TargetMode="External"/><Relationship Id="rId45" Type="http://schemas.openxmlformats.org/officeDocument/2006/relationships/hyperlink" Target="https://internet.garant.ru/document/redirect/402655848/10038" TargetMode="External"/><Relationship Id="rId46" Type="http://schemas.openxmlformats.org/officeDocument/2006/relationships/hyperlink" Target="https://internet.garant.ru/document/redirect/77312444/1018" TargetMode="External"/><Relationship Id="rId47" Type="http://schemas.openxmlformats.org/officeDocument/2006/relationships/image" Target="media/image12.wmf"/><Relationship Id="rId48" Type="http://schemas.openxmlformats.org/officeDocument/2006/relationships/hyperlink" Target="https://internet.garant.ru/document/redirect/402655848/10039" TargetMode="External"/><Relationship Id="rId49" Type="http://schemas.openxmlformats.org/officeDocument/2006/relationships/hyperlink" Target="https://internet.garant.ru/document/redirect/77312444/1019" TargetMode="External"/><Relationship Id="rId50" Type="http://schemas.openxmlformats.org/officeDocument/2006/relationships/hyperlink" Target="https://internet.garant.ru/document/redirect/402655848/10039" TargetMode="External"/><Relationship Id="rId51" Type="http://schemas.openxmlformats.org/officeDocument/2006/relationships/hyperlink" Target="https://internet.garant.ru/document/redirect/77312444/1020" TargetMode="External"/><Relationship Id="rId52" Type="http://schemas.openxmlformats.org/officeDocument/2006/relationships/image" Target="media/image13.wmf"/><Relationship Id="rId53" Type="http://schemas.openxmlformats.org/officeDocument/2006/relationships/hyperlink" Target="https://internet.garant.ru/document/redirect/402655848/10311" TargetMode="External"/><Relationship Id="rId54" Type="http://schemas.openxmlformats.org/officeDocument/2006/relationships/hyperlink" Target="https://internet.garant.ru/document/redirect/77312444/1022" TargetMode="External"/><Relationship Id="rId55" Type="http://schemas.openxmlformats.org/officeDocument/2006/relationships/hyperlink" Target="https://internet.garant.ru/document/redirect/402655848/10311" TargetMode="External"/><Relationship Id="rId56" Type="http://schemas.openxmlformats.org/officeDocument/2006/relationships/hyperlink" Target="https://internet.garant.ru/document/redirect/77312444/1023" TargetMode="External"/><Relationship Id="rId57" Type="http://schemas.openxmlformats.org/officeDocument/2006/relationships/image" Target="media/image14.wmf"/><Relationship Id="rId58" Type="http://schemas.openxmlformats.org/officeDocument/2006/relationships/hyperlink" Target="https://internet.garant.ru/document/redirect/402655848/10312" TargetMode="External"/><Relationship Id="rId59" Type="http://schemas.openxmlformats.org/officeDocument/2006/relationships/hyperlink" Target="https://internet.garant.ru/document/redirect/77312444/1025" TargetMode="External"/><Relationship Id="rId60" Type="http://schemas.openxmlformats.org/officeDocument/2006/relationships/image" Target="media/image15.wmf"/><Relationship Id="rId61" Type="http://schemas.openxmlformats.org/officeDocument/2006/relationships/image" Target="media/image16.wmf"/><Relationship Id="rId62" Type="http://schemas.openxmlformats.org/officeDocument/2006/relationships/image" Target="media/image17.wmf"/><Relationship Id="rId63" Type="http://schemas.openxmlformats.org/officeDocument/2006/relationships/hyperlink" Target="https://internet.garant.ru/document/redirect/402655848/10313" TargetMode="External"/><Relationship Id="rId64" Type="http://schemas.openxmlformats.org/officeDocument/2006/relationships/hyperlink" Target="https://internet.garant.ru/document/redirect/77312444/1026" TargetMode="External"/><Relationship Id="rId65" Type="http://schemas.openxmlformats.org/officeDocument/2006/relationships/hyperlink" Target="https://internet.garant.ru/document/redirect/402655848/10313" TargetMode="External"/><Relationship Id="rId66" Type="http://schemas.openxmlformats.org/officeDocument/2006/relationships/hyperlink" Target="https://internet.garant.ru/document/redirect/77312444/1027" TargetMode="External"/><Relationship Id="rId67" Type="http://schemas.openxmlformats.org/officeDocument/2006/relationships/hyperlink" Target="https://internet.garant.ru/document/redirect/402655848/10313" TargetMode="External"/><Relationship Id="rId68" Type="http://schemas.openxmlformats.org/officeDocument/2006/relationships/hyperlink" Target="https://internet.garant.ru/document/redirect/77312444/1028" TargetMode="External"/><Relationship Id="rId69" Type="http://schemas.openxmlformats.org/officeDocument/2006/relationships/hyperlink" Target="https://internet.garant.ru/document/redirect/402655848/10313" TargetMode="External"/><Relationship Id="rId70" Type="http://schemas.openxmlformats.org/officeDocument/2006/relationships/hyperlink" Target="https://internet.garant.ru/document/redirect/77312444/1029" TargetMode="External"/><Relationship Id="rId71" Type="http://schemas.openxmlformats.org/officeDocument/2006/relationships/hyperlink" Target="https://internet.garant.ru/document/redirect/402655848/10313" TargetMode="External"/><Relationship Id="rId72" Type="http://schemas.openxmlformats.org/officeDocument/2006/relationships/hyperlink" Target="https://internet.garant.ru/document/redirect/77312444/1030" TargetMode="External"/><Relationship Id="rId73" Type="http://schemas.openxmlformats.org/officeDocument/2006/relationships/hyperlink" Target="https://internet.garant.ru/document/redirect/402655848/10313" TargetMode="External"/><Relationship Id="rId74" Type="http://schemas.openxmlformats.org/officeDocument/2006/relationships/hyperlink" Target="https://internet.garant.ru/document/redirect/77312444/1031" TargetMode="External"/><Relationship Id="rId75" Type="http://schemas.openxmlformats.org/officeDocument/2006/relationships/hyperlink" Target="https://internet.garant.ru/document/redirect/402655848/10313" TargetMode="External"/><Relationship Id="rId76" Type="http://schemas.openxmlformats.org/officeDocument/2006/relationships/hyperlink" Target="https://internet.garant.ru/document/redirect/77312444/1032" TargetMode="External"/><Relationship Id="rId77" Type="http://schemas.openxmlformats.org/officeDocument/2006/relationships/hyperlink" Target="https://internet.garant.ru/document/redirect/402655848/10313" TargetMode="External"/><Relationship Id="rId78" Type="http://schemas.openxmlformats.org/officeDocument/2006/relationships/hyperlink" Target="https://internet.garant.ru/document/redirect/77312444/1033" TargetMode="External"/><Relationship Id="rId79" Type="http://schemas.openxmlformats.org/officeDocument/2006/relationships/hyperlink" Target="https://internet.garant.ru/document/redirect/402655848/10313" TargetMode="External"/><Relationship Id="rId80" Type="http://schemas.openxmlformats.org/officeDocument/2006/relationships/hyperlink" Target="https://internet.garant.ru/document/redirect/77312444/1034" TargetMode="External"/><Relationship Id="rId81" Type="http://schemas.openxmlformats.org/officeDocument/2006/relationships/hyperlink" Target="https://internet.garant.ru/document/redirect/402655848/10313" TargetMode="External"/><Relationship Id="rId82" Type="http://schemas.openxmlformats.org/officeDocument/2006/relationships/hyperlink" Target="https://internet.garant.ru/document/redirect/77312444/1035" TargetMode="External"/><Relationship Id="rId83" Type="http://schemas.openxmlformats.org/officeDocument/2006/relationships/hyperlink" Target="https://internet.garant.ru/document/redirect/402655848/10313" TargetMode="External"/><Relationship Id="rId84" Type="http://schemas.openxmlformats.org/officeDocument/2006/relationships/hyperlink" Target="https://internet.garant.ru/document/redirect/77312444/1036" TargetMode="External"/><Relationship Id="rId85" Type="http://schemas.openxmlformats.org/officeDocument/2006/relationships/image" Target="media/image18.wmf"/><Relationship Id="rId86" Type="http://schemas.openxmlformats.org/officeDocument/2006/relationships/image" Target="media/image19.wmf"/><Relationship Id="rId87" Type="http://schemas.openxmlformats.org/officeDocument/2006/relationships/hyperlink" Target="https://internet.garant.ru/document/redirect/12141176/3741" TargetMode="External"/><Relationship Id="rId88" Type="http://schemas.openxmlformats.org/officeDocument/2006/relationships/hyperlink" Target="https://internet.garant.ru/document/redirect/71129190/802" TargetMode="External"/><Relationship Id="rId89" Type="http://schemas.openxmlformats.org/officeDocument/2006/relationships/hyperlink" Target="https://internet.garant.ru/document/redirect/990941/2782" TargetMode="External"/><Relationship Id="rId90" Type="http://schemas.openxmlformats.org/officeDocument/2006/relationships/image" Target="media/image15.wmf"/><Relationship Id="rId91" Type="http://schemas.openxmlformats.org/officeDocument/2006/relationships/image" Target="media/image16.wmf"/><Relationship Id="rId92" Type="http://schemas.openxmlformats.org/officeDocument/2006/relationships/image" Target="media/image17.wmf"/><Relationship Id="rId93" Type="http://schemas.openxmlformats.org/officeDocument/2006/relationships/image" Target="media/image18.wmf"/><Relationship Id="rId94" Type="http://schemas.openxmlformats.org/officeDocument/2006/relationships/image" Target="media/image19.wmf"/><Relationship Id="rId95" Type="http://schemas.openxmlformats.org/officeDocument/2006/relationships/hyperlink" Target="https://internet.garant.ru/document/redirect/12141176/0" TargetMode="External"/><Relationship Id="rId96" Type="http://schemas.openxmlformats.org/officeDocument/2006/relationships/hyperlink" Target="https://internet.garant.ru/document/redirect/71129190/0" TargetMode="External"/><Relationship Id="rId97" Type="http://schemas.openxmlformats.org/officeDocument/2006/relationships/hyperlink" Target="https://internet.garant.ru/document/redirect/71129190/0" TargetMode="External"/><Relationship Id="rId98" Type="http://schemas.openxmlformats.org/officeDocument/2006/relationships/hyperlink" Target="https://internet.garant.ru/document/redirect/70353464/0" TargetMode="External"/><Relationship Id="rId99" Type="http://schemas.openxmlformats.org/officeDocument/2006/relationships/hyperlink" Target="https://internet.garant.ru/document/redirect/12188083/0" TargetMode="External"/><Relationship Id="rId100" Type="http://schemas.openxmlformats.org/officeDocument/2006/relationships/hyperlink" Target="https://internet.garant.ru/document/redirect/402655848/103141" TargetMode="External"/><Relationship Id="rId101" Type="http://schemas.openxmlformats.org/officeDocument/2006/relationships/hyperlink" Target="https://internet.garant.ru/document/redirect/77312444/11023" TargetMode="External"/><Relationship Id="rId102" Type="http://schemas.openxmlformats.org/officeDocument/2006/relationships/hyperlink" Target="https://internet.garant.ru/document/redirect/10164072/0" TargetMode="External"/><Relationship Id="rId103" Type="http://schemas.openxmlformats.org/officeDocument/2006/relationships/hyperlink" Target="https://internet.garant.ru/document/redirect/70353464/0" TargetMode="External"/><Relationship Id="rId104" Type="http://schemas.openxmlformats.org/officeDocument/2006/relationships/hyperlink" Target="https://internet.garant.ru/document/redirect/70353464/0" TargetMode="External"/><Relationship Id="rId105" Type="http://schemas.openxmlformats.org/officeDocument/2006/relationships/hyperlink" Target="https://internet.garant.ru/document/redirect/70833138/0" TargetMode="External"/><Relationship Id="rId106" Type="http://schemas.openxmlformats.org/officeDocument/2006/relationships/hyperlink" Target="https://internet.garant.ru/document/redirect/402655848/103141" TargetMode="External"/><Relationship Id="rId107" Type="http://schemas.openxmlformats.org/officeDocument/2006/relationships/hyperlink" Target="https://internet.garant.ru/document/redirect/77312444/11028" TargetMode="External"/><Relationship Id="rId108" Type="http://schemas.openxmlformats.org/officeDocument/2006/relationships/hyperlink" Target="https://internet.garant.ru/document/redirect/402655848/103143" TargetMode="External"/><Relationship Id="rId109" Type="http://schemas.openxmlformats.org/officeDocument/2006/relationships/hyperlink" Target="https://internet.garant.ru/document/redirect/77312444/11029" TargetMode="External"/><Relationship Id="rId110" Type="http://schemas.openxmlformats.org/officeDocument/2006/relationships/hyperlink" Target="https://internet.garant.ru/document/redirect/408408457/1003" TargetMode="External"/><Relationship Id="rId111" Type="http://schemas.openxmlformats.org/officeDocument/2006/relationships/hyperlink" Target="https://internet.garant.ru/document/redirect/12138258/68" TargetMode="External"/><Relationship Id="rId112" Type="http://schemas.openxmlformats.org/officeDocument/2006/relationships/hyperlink" Target="https://internet.garant.ru/document/redirect/408408457/1003" TargetMode="External"/><Relationship Id="rId113" Type="http://schemas.openxmlformats.org/officeDocument/2006/relationships/hyperlink" Target="https://internet.garant.ru/document/redirect/408408457/1003" TargetMode="External"/><Relationship Id="rId114" Type="http://schemas.openxmlformats.org/officeDocument/2006/relationships/hyperlink" Target="https://internet.garant.ru/document/redirect/408408457/1004" TargetMode="External"/><Relationship Id="rId115" Type="http://schemas.openxmlformats.org/officeDocument/2006/relationships/hyperlink" Target="https://internet.garant.ru/document/redirect/76829225/12000" TargetMode="External"/><Relationship Id="rId116" Type="http://schemas.openxmlformats.org/officeDocument/2006/relationships/hyperlink" Target="https://internet.garant.ru/document/redirect/990941/2782" TargetMode="External"/><Relationship Id="rId117" Type="http://schemas.openxmlformats.org/officeDocument/2006/relationships/header" Target="header1.xml"/><Relationship Id="rId118" Type="http://schemas.openxmlformats.org/officeDocument/2006/relationships/header" Target="header2.xml"/><Relationship Id="rId119" Type="http://schemas.openxmlformats.org/officeDocument/2006/relationships/header" Target="header3.xml"/><Relationship Id="rId120" Type="http://schemas.openxmlformats.org/officeDocument/2006/relationships/footer" Target="footer1.xml"/><Relationship Id="rId121" Type="http://schemas.openxmlformats.org/officeDocument/2006/relationships/footer" Target="footer2.xml"/><Relationship Id="rId122" Type="http://schemas.openxmlformats.org/officeDocument/2006/relationships/footer" Target="footer3.xml"/><Relationship Id="rId123" Type="http://schemas.openxmlformats.org/officeDocument/2006/relationships/fontTable" Target="fontTable.xml"/><Relationship Id="rId124" Type="http://schemas.openxmlformats.org/officeDocument/2006/relationships/settings" Target="settings.xml"/><Relationship Id="rId1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20</Pages>
  <Words>5754</Words>
  <Characters>38270</Characters>
  <CharactersWithSpaces>43714</CharactersWithSpaces>
  <Paragraphs>371</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2025-12-19T10:55:00Z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