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108" w:after="108"/>
        <w:rPr/>
      </w:pPr>
      <w:hyperlink r:id="rId2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 Правительства РФ от 24 ноября 2022 г. N 2138 "Об утверждении Правил осуществления субъектом Российской Федерации, являющимся самостоятельной стороной концессионного соглашения,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концедентом по которому выступает муниципальное образование, контроля за исполнением такого концессионного соглашения, а также требований к составу результатов выполнения этапов исполнения условий концессионного соглашения..."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Style15"/>
        </w:rPr>
        <w:t xml:space="preserve">В соответствии с </w:t>
      </w:r>
      <w:hyperlink r:id="rId3">
        <w:r>
          <w:rPr>
            <w:rStyle w:val="ListLabel4"/>
            <w:rFonts w:ascii="Times New Roman" w:hAnsi="Times New Roman"/>
            <w:b w:val="false"/>
            <w:color w:val="106BBE"/>
          </w:rPr>
          <w:t>частью 8 статьи 9</w:t>
        </w:r>
      </w:hyperlink>
      <w:r>
        <w:rPr>
          <w:rStyle w:val="Style15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Normal"/>
        <w:rPr/>
      </w:pPr>
      <w:bookmarkStart w:id="0" w:name="sub_10"/>
      <w:bookmarkEnd w:id="0"/>
      <w:r>
        <w:rPr>
          <w:rStyle w:val="Style15"/>
        </w:rPr>
        <w:t>Утвердить прилагаемые:</w:t>
      </w:r>
    </w:p>
    <w:p>
      <w:pPr>
        <w:pStyle w:val="Normal"/>
        <w:rPr/>
      </w:pPr>
      <w:hyperlink w:anchor="sub_1100">
        <w:bookmarkStart w:id="1" w:name="sub_1_Копия_1"/>
        <w:bookmarkStart w:id="2" w:name="sub_1"/>
        <w:bookmarkEnd w:id="1"/>
        <w:bookmarkEnd w:id="2"/>
        <w:r>
          <w:rPr>
            <w:rStyle w:val="ListLabel4"/>
            <w:rFonts w:ascii="Times New Roman" w:hAnsi="Times New Roman"/>
            <w:b w:val="false"/>
            <w:color w:val="106BBE"/>
          </w:rPr>
          <w:t>Правила</w:t>
        </w:r>
      </w:hyperlink>
      <w:r>
        <w:rPr>
          <w:rStyle w:val="Style15"/>
        </w:rPr>
        <w:t xml:space="preserve"> осуществления субъектом Российской Федерации, являющимся самостоятельной стороной концессионного соглашения,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концедентом по которому выступает муниципальное образование, контроля за исполнением такого концессионного соглашения;</w:t>
      </w:r>
    </w:p>
    <w:p>
      <w:pPr>
        <w:pStyle w:val="Normal"/>
        <w:rPr/>
      </w:pPr>
      <w:hyperlink w:anchor="sub_1200">
        <w:bookmarkStart w:id="3" w:name="sub_2_Копия_1"/>
        <w:bookmarkStart w:id="4" w:name="sub_2"/>
        <w:bookmarkEnd w:id="3"/>
        <w:bookmarkEnd w:id="4"/>
        <w:r>
          <w:rPr>
            <w:rStyle w:val="ListLabel4"/>
            <w:rFonts w:ascii="Times New Roman" w:hAnsi="Times New Roman"/>
            <w:b w:val="false"/>
            <w:color w:val="106BBE"/>
          </w:rPr>
          <w:t>требования</w:t>
        </w:r>
      </w:hyperlink>
      <w:r>
        <w:rPr>
          <w:rStyle w:val="Style15"/>
        </w:rPr>
        <w:t xml:space="preserve"> к составу результатов выполнения этапов исполнения условий концессионного соглашения,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метрополитена.</w:t>
      </w:r>
    </w:p>
    <w:p>
      <w:pPr>
        <w:pStyle w:val="Normal"/>
        <w:rPr/>
      </w:pPr>
      <w:r>
        <w:rPr/>
      </w:r>
      <w:bookmarkStart w:id="5" w:name="sub_2_Копия_3"/>
      <w:bookmarkStart w:id="6" w:name="sub_2_Копия_2"/>
      <w:bookmarkStart w:id="7" w:name="sub_2_Копия_3"/>
      <w:bookmarkStart w:id="8" w:name="sub_2_Копия_2"/>
      <w:bookmarkEnd w:id="7"/>
      <w:bookmarkEnd w:id="8"/>
    </w:p>
    <w:tbl>
      <w:tblPr>
        <w:tblW w:w="10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18"/>
              <w:tabs>
                <w:tab w:val="clear" w:pos="720"/>
              </w:tabs>
              <w:bidi w:val="0"/>
              <w:rPr/>
            </w:pPr>
            <w:r>
              <w:rPr/>
              <w:t>Председатель Правительства</w:t>
              <w:br/>
              <w:t>Российской Федерации</w:t>
            </w:r>
          </w:p>
        </w:tc>
        <w:tc>
          <w:tcPr>
            <w:tcW w:w="3432" w:type="dxa"/>
            <w:tcBorders/>
          </w:tcPr>
          <w:p>
            <w:pPr>
              <w:pStyle w:val="Style19"/>
              <w:tabs>
                <w:tab w:val="clear" w:pos="720"/>
              </w:tabs>
              <w:bidi w:val="0"/>
              <w:jc w:val="right"/>
              <w:rPr/>
            </w:pPr>
            <w:r>
              <w:rPr/>
              <w:t>М. Мишустин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698"/>
        <w:jc w:val="right"/>
        <w:rPr/>
      </w:pPr>
      <w:bookmarkStart w:id="9" w:name="sub_1100"/>
      <w:bookmarkEnd w:id="9"/>
      <w:r>
        <w:rPr>
          <w:rStyle w:val="Style14"/>
          <w:rFonts w:eastAsia="Symbol" w:cs="Wingdings"/>
        </w:rPr>
        <w:t>УТВЕРЖДЕНЫ</w:t>
        <w:br/>
      </w:r>
      <w:hyperlink w:anchor="sub_0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4"/>
          <w:rFonts w:eastAsia="Symbol" w:cs="Wingdings"/>
        </w:rPr>
        <w:t xml:space="preserve"> Правительства</w:t>
        <w:br/>
        <w:t>Российской Федерации</w:t>
        <w:br/>
        <w:t>от 24 ноября 2022 г. N 2138</w:t>
      </w:r>
    </w:p>
    <w:p>
      <w:pPr>
        <w:pStyle w:val="Normal"/>
        <w:rPr/>
      </w:pPr>
      <w:r>
        <w:rPr/>
      </w:r>
      <w:bookmarkStart w:id="10" w:name="sub_1100_Копия_2"/>
      <w:bookmarkStart w:id="11" w:name="sub_1100_Копия_1"/>
      <w:bookmarkStart w:id="12" w:name="sub_1100_Копия_2"/>
      <w:bookmarkStart w:id="13" w:name="sub_1100_Копия_1"/>
      <w:bookmarkEnd w:id="12"/>
      <w:bookmarkEnd w:id="13"/>
    </w:p>
    <w:p>
      <w:pPr>
        <w:pStyle w:val="Heading1"/>
        <w:bidi w:val="0"/>
        <w:rPr/>
      </w:pPr>
      <w:r>
        <w:rPr/>
        <w:t>Правила</w:t>
        <w:br/>
        <w:t>осуществления субъектом Российской Федерации, являющимся самостоятельной стороной концессионного соглашения,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концедентом по которому выступает муниципальное образование, контроля за исполнением такого концессионного соглашения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4" w:name="sub_1101"/>
      <w:bookmarkEnd w:id="14"/>
      <w:r>
        <w:rPr>
          <w:rStyle w:val="Style15"/>
        </w:rPr>
        <w:t xml:space="preserve">1. Настоящие Правила устанавливают порядок осуществления субъектом Российской Федерации, являющимся самостоятельной стороной концессионного соглашения,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концедентом по которому выступает муниципальное образование, в случаях, предусмотренных </w:t>
      </w:r>
      <w:hyperlink r:id="rId4">
        <w:r>
          <w:rPr>
            <w:rStyle w:val="ListLabel4"/>
            <w:rFonts w:ascii="Times New Roman" w:hAnsi="Times New Roman"/>
            <w:b w:val="false"/>
            <w:color w:val="106BBE"/>
          </w:rPr>
          <w:t>частью 1</w:t>
        </w:r>
      </w:hyperlink>
      <w:hyperlink r:id="rId5">
        <w:r>
          <w:rPr>
            <w:rStyle w:val="ListLabel5"/>
            <w:rFonts w:ascii="Times New Roman" w:hAnsi="Times New Roman"/>
            <w:b w:val="false"/>
            <w:color w:val="106BBE"/>
            <w:vertAlign w:val="superscript"/>
          </w:rPr>
          <w:t> 7</w:t>
        </w:r>
      </w:hyperlink>
      <w:hyperlink r:id="rId6">
        <w:r>
          <w:rPr>
            <w:rStyle w:val="ListLabel4"/>
            <w:rFonts w:ascii="Times New Roman" w:hAnsi="Times New Roman"/>
            <w:b w:val="false"/>
            <w:color w:val="106BBE"/>
          </w:rPr>
          <w:t xml:space="preserve"> статьи 5</w:t>
        </w:r>
      </w:hyperlink>
      <w:r>
        <w:rPr>
          <w:rStyle w:val="Style15"/>
        </w:rPr>
        <w:t xml:space="preserve"> Федерального закона "О концессионных соглашениях", контроля за исполнением такого концессионного соглашения (далее - соответственно - субъект Российской Федерации, контроль, соглашение, объект соглашения).</w:t>
      </w:r>
    </w:p>
    <w:p>
      <w:pPr>
        <w:pStyle w:val="Normal"/>
        <w:rPr/>
      </w:pPr>
      <w:bookmarkStart w:id="15" w:name="sub_1102_Копия_1"/>
      <w:bookmarkStart w:id="16" w:name="sub_1102"/>
      <w:bookmarkEnd w:id="15"/>
      <w:bookmarkEnd w:id="16"/>
      <w:r>
        <w:rPr>
          <w:rStyle w:val="Style15"/>
        </w:rPr>
        <w:t>2. Объектами контроля являются объект соглашения, документация, относящаяся к деятельности, предусмотренной соглашением, результаты выполнения этапов исполнения условий соглашения. Предметом контроля является исполнение концедентом и концессионером (далее контролируемые лица) обязательств по соглашению.</w:t>
      </w:r>
    </w:p>
    <w:p>
      <w:pPr>
        <w:pStyle w:val="Normal"/>
        <w:rPr/>
      </w:pPr>
      <w:bookmarkStart w:id="17" w:name="sub_1103_Копия_1"/>
      <w:bookmarkStart w:id="18" w:name="sub_1103"/>
      <w:bookmarkEnd w:id="17"/>
      <w:bookmarkEnd w:id="18"/>
      <w:r>
        <w:rPr>
          <w:rStyle w:val="Style15"/>
        </w:rPr>
        <w:t xml:space="preserve">3. Целью осуществления контроля является выявление фактов нарушения контролируемыми лицами условий соглашения, в том числе требований к результатам выполнения этапов исполнения условий соглашения, указанных в </w:t>
      </w:r>
      <w:hyperlink r:id="rId7">
        <w:r>
          <w:rPr>
            <w:rStyle w:val="ListLabel4"/>
            <w:rFonts w:ascii="Times New Roman" w:hAnsi="Times New Roman"/>
            <w:b w:val="false"/>
            <w:color w:val="106BBE"/>
          </w:rPr>
          <w:t>пункте 6</w:t>
        </w:r>
      </w:hyperlink>
      <w:hyperlink r:id="rId8">
        <w:r>
          <w:rPr>
            <w:rStyle w:val="ListLabel5"/>
            <w:rFonts w:ascii="Times New Roman" w:hAnsi="Times New Roman"/>
            <w:b w:val="false"/>
            <w:color w:val="106BBE"/>
            <w:vertAlign w:val="superscript"/>
          </w:rPr>
          <w:t> 6</w:t>
        </w:r>
      </w:hyperlink>
      <w:hyperlink r:id="rId9">
        <w:r>
          <w:rPr>
            <w:rStyle w:val="ListLabel4"/>
            <w:rFonts w:ascii="Times New Roman" w:hAnsi="Times New Roman"/>
            <w:b w:val="false"/>
            <w:color w:val="106BBE"/>
          </w:rPr>
          <w:t xml:space="preserve"> части 1 статьи 10</w:t>
        </w:r>
      </w:hyperlink>
      <w:r>
        <w:rPr>
          <w:rStyle w:val="Style15"/>
        </w:rPr>
        <w:t xml:space="preserve"> Федерального закона "О концессионных соглашениях", обязательств концедента по финансированию части расходов на создание и (или) реконструкцию объекта соглашения, расходов на использование (эксплуатацию) объекта соглашения, по выплате платы концедента по соглашению, по предоставлению концессионеру муниципальных гарантий, по передаче концессионеру объекта соглашения, по предоставлению во владение и в пользование концессионера имущества, принадлежащего концеденту на праве собственности, образующего единое целое с объектом соглашения и (или) предназначенного для использования в целях создания условий осуществления концессионером деятельности, предусмотренной соглашением, по предоставлению концессионеру земельных участков, предназначенных для осуществления деятельности, предусмотренной соглашением (далее - обязательства концедента).</w:t>
      </w:r>
    </w:p>
    <w:p>
      <w:pPr>
        <w:pStyle w:val="Normal"/>
        <w:rPr/>
      </w:pPr>
      <w:bookmarkStart w:id="19" w:name="sub_1104_Копия_1"/>
      <w:bookmarkStart w:id="20" w:name="sub_1104"/>
      <w:bookmarkEnd w:id="19"/>
      <w:bookmarkEnd w:id="20"/>
      <w:r>
        <w:rPr>
          <w:rStyle w:val="Style15"/>
        </w:rPr>
        <w:t>4. Контроль осуществляется субъектом Российской Федерации в лице представителей органов государственной власти субъекта Российской Федерации и (или) юридических лиц, уполномоченных на осуществление контроля в соответствии с законодательством субъекта Российской Федерации (далее - представители).</w:t>
      </w:r>
    </w:p>
    <w:p>
      <w:pPr>
        <w:pStyle w:val="Normal"/>
        <w:rPr/>
      </w:pPr>
      <w:bookmarkStart w:id="21" w:name="sub_1105_Копия_1"/>
      <w:bookmarkStart w:id="22" w:name="sub_1105"/>
      <w:bookmarkEnd w:id="21"/>
      <w:bookmarkEnd w:id="22"/>
      <w:r>
        <w:rPr>
          <w:rStyle w:val="Style15"/>
        </w:rPr>
        <w:t>5. Контроль осуществляется путем проведения контрольных мероприятий в форме выездных плановых проверок, сроки, порядок и условия проведения которых устанавливаются соглашением с учетом положений настоящих Правил, а также в форме проверки документов и информации, направляемых контролируемыми лицами представителям в соответствии с условиями соглашения.</w:t>
      </w:r>
    </w:p>
    <w:p>
      <w:pPr>
        <w:pStyle w:val="Normal"/>
        <w:rPr/>
      </w:pPr>
      <w:bookmarkStart w:id="23" w:name="sub_1106_Копия_1"/>
      <w:bookmarkStart w:id="24" w:name="sub_1106"/>
      <w:bookmarkEnd w:id="23"/>
      <w:bookmarkEnd w:id="24"/>
      <w:r>
        <w:rPr>
          <w:rStyle w:val="Style15"/>
        </w:rPr>
        <w:t>6. При осуществлении контроля в отношении результатов выполнения этапов исполнения условий соглашения проведение контрольных мероприятий начинается в срок не позднее 20 рабочих дней со дня окончания соответствующего этапа исполнения условий соглашения.</w:t>
      </w:r>
    </w:p>
    <w:p>
      <w:pPr>
        <w:pStyle w:val="Normal"/>
        <w:rPr/>
      </w:pPr>
      <w:bookmarkStart w:id="25" w:name="sub_1107_Копия_1"/>
      <w:bookmarkStart w:id="26" w:name="sub_1107"/>
      <w:bookmarkEnd w:id="25"/>
      <w:bookmarkEnd w:id="26"/>
      <w:r>
        <w:rPr>
          <w:rStyle w:val="Style15"/>
        </w:rPr>
        <w:t>7. Не позднее чем за 10 рабочих дней до даты начала проведения контрольного мероприятия представители направляют контролируемому лицу уведомление о проведении контрольного мероприятия. Контролируемое лицо считается проинформированным о проведении контрольного мероприятия надлежащим образом в случае, если уведомление о проведении контрольного мероприятия было направлено ему электронной почтой по адресу, указанному в соглашении.</w:t>
      </w:r>
    </w:p>
    <w:p>
      <w:pPr>
        <w:pStyle w:val="Normal"/>
        <w:rPr/>
      </w:pPr>
      <w:bookmarkStart w:id="27" w:name="sub_1108_Копия_1"/>
      <w:bookmarkStart w:id="28" w:name="sub_1108"/>
      <w:bookmarkEnd w:id="27"/>
      <w:bookmarkEnd w:id="28"/>
      <w:r>
        <w:rPr>
          <w:rStyle w:val="Style15"/>
        </w:rPr>
        <w:t>8. В случае отсутствия в соглашении сведений об адресе электронной почты контролируемого лица и (или) возможности у представителей направить контролируемому лицу уведомление о проведении контрольного мероприятия в электронном виде такое уведомление направляется ему на бумажном носителе по почте заказным письмом.</w:t>
      </w:r>
    </w:p>
    <w:p>
      <w:pPr>
        <w:pStyle w:val="Normal"/>
        <w:rPr/>
      </w:pPr>
      <w:bookmarkStart w:id="29" w:name="sub_1109_Копия_1"/>
      <w:bookmarkStart w:id="30" w:name="sub_1109"/>
      <w:bookmarkEnd w:id="29"/>
      <w:bookmarkEnd w:id="30"/>
      <w:r>
        <w:rPr>
          <w:rStyle w:val="Style15"/>
        </w:rPr>
        <w:t>9. Уведомление о проведении контрольного мероприятия должно содержать:</w:t>
      </w:r>
    </w:p>
    <w:p>
      <w:pPr>
        <w:pStyle w:val="Normal"/>
        <w:rPr/>
      </w:pPr>
      <w:bookmarkStart w:id="31" w:name="sub_1191_Копия_1"/>
      <w:bookmarkStart w:id="32" w:name="sub_1191"/>
      <w:bookmarkEnd w:id="31"/>
      <w:bookmarkEnd w:id="32"/>
      <w:r>
        <w:rPr>
          <w:rStyle w:val="Style15"/>
        </w:rPr>
        <w:t>а) фамилии, имена, отчества (при наличии) и полные наименования должностей представителей;</w:t>
      </w:r>
    </w:p>
    <w:p>
      <w:pPr>
        <w:pStyle w:val="Normal"/>
        <w:rPr/>
      </w:pPr>
      <w:bookmarkStart w:id="33" w:name="sub_1192_Копия_1"/>
      <w:bookmarkStart w:id="34" w:name="sub_1192"/>
      <w:bookmarkEnd w:id="33"/>
      <w:bookmarkEnd w:id="34"/>
      <w:r>
        <w:rPr>
          <w:rStyle w:val="Style15"/>
        </w:rPr>
        <w:t>б) место проведения контрольного мероприятия;</w:t>
      </w:r>
    </w:p>
    <w:p>
      <w:pPr>
        <w:pStyle w:val="Normal"/>
        <w:rPr/>
      </w:pPr>
      <w:bookmarkStart w:id="35" w:name="sub_1193_Копия_1"/>
      <w:bookmarkStart w:id="36" w:name="sub_1193"/>
      <w:bookmarkEnd w:id="35"/>
      <w:bookmarkEnd w:id="36"/>
      <w:r>
        <w:rPr>
          <w:rStyle w:val="Style15"/>
        </w:rPr>
        <w:t>в) объект и предмет контроля;</w:t>
      </w:r>
    </w:p>
    <w:p>
      <w:pPr>
        <w:pStyle w:val="Normal"/>
        <w:rPr/>
      </w:pPr>
      <w:bookmarkStart w:id="37" w:name="sub_1194_Копия_1"/>
      <w:bookmarkStart w:id="38" w:name="sub_1194"/>
      <w:bookmarkEnd w:id="37"/>
      <w:bookmarkEnd w:id="38"/>
      <w:r>
        <w:rPr>
          <w:rStyle w:val="Style15"/>
        </w:rPr>
        <w:t>г) период проведения контрольного мероприятия (количество дней);</w:t>
      </w:r>
    </w:p>
    <w:p>
      <w:pPr>
        <w:pStyle w:val="Normal"/>
        <w:rPr/>
      </w:pPr>
      <w:bookmarkStart w:id="39" w:name="sub_1195_Копия_1"/>
      <w:bookmarkStart w:id="40" w:name="sub_1195"/>
      <w:bookmarkEnd w:id="39"/>
      <w:bookmarkEnd w:id="40"/>
      <w:r>
        <w:rPr>
          <w:rStyle w:val="Style15"/>
        </w:rPr>
        <w:t>д) срок проведения контрольного мероприятия (даты начала и окончания проведения контрольного мероприятия);</w:t>
      </w:r>
    </w:p>
    <w:p>
      <w:pPr>
        <w:pStyle w:val="Normal"/>
        <w:rPr/>
      </w:pPr>
      <w:bookmarkStart w:id="41" w:name="sub_1196_Копия_1"/>
      <w:bookmarkStart w:id="42" w:name="sub_1196"/>
      <w:bookmarkEnd w:id="41"/>
      <w:bookmarkEnd w:id="42"/>
      <w:r>
        <w:rPr>
          <w:rStyle w:val="Style15"/>
        </w:rPr>
        <w:t>е) список документов, которые контролируемое лицо обязано представить к дате начала проведения контрольного мероприятия по месту его проведения.</w:t>
      </w:r>
    </w:p>
    <w:p>
      <w:pPr>
        <w:pStyle w:val="Normal"/>
        <w:rPr/>
      </w:pPr>
      <w:bookmarkStart w:id="43" w:name="sub_1110_Копия_1"/>
      <w:bookmarkStart w:id="44" w:name="sub_1110"/>
      <w:bookmarkEnd w:id="43"/>
      <w:bookmarkEnd w:id="44"/>
      <w:r>
        <w:rPr>
          <w:rStyle w:val="Style15"/>
        </w:rPr>
        <w:t>10. Период проведения контрольного мероприятия составляет не более 5 рабочих дней. В случае необходимости период проведения контрольного мероприятия может быть однократно увеличен представителями не более чем на 5 рабочих дней.</w:t>
      </w:r>
    </w:p>
    <w:p>
      <w:pPr>
        <w:pStyle w:val="Normal"/>
        <w:rPr/>
      </w:pPr>
      <w:bookmarkStart w:id="45" w:name="sub_1111_Копия_1"/>
      <w:bookmarkStart w:id="46" w:name="sub_1111"/>
      <w:bookmarkEnd w:id="45"/>
      <w:bookmarkEnd w:id="46"/>
      <w:r>
        <w:rPr>
          <w:rStyle w:val="Style15"/>
        </w:rPr>
        <w:t>11. При проведении контрольных мероприятий представители обязаны:</w:t>
      </w:r>
    </w:p>
    <w:p>
      <w:pPr>
        <w:pStyle w:val="Normal"/>
        <w:rPr/>
      </w:pPr>
      <w:bookmarkStart w:id="47" w:name="sub_1001_Копия_1"/>
      <w:bookmarkStart w:id="48" w:name="sub_1001"/>
      <w:bookmarkEnd w:id="47"/>
      <w:bookmarkEnd w:id="48"/>
      <w:r>
        <w:rPr>
          <w:rStyle w:val="Style15"/>
        </w:rPr>
        <w:t>а) соблюдать законодательство Российской Федерации, права и законные интересы контролируемого лица;</w:t>
      </w:r>
    </w:p>
    <w:p>
      <w:pPr>
        <w:pStyle w:val="Normal"/>
        <w:rPr/>
      </w:pPr>
      <w:bookmarkStart w:id="49" w:name="sub_1002_Копия_1"/>
      <w:bookmarkStart w:id="50" w:name="sub_1002"/>
      <w:bookmarkEnd w:id="49"/>
      <w:bookmarkEnd w:id="50"/>
      <w:r>
        <w:rPr>
          <w:rStyle w:val="Style15"/>
        </w:rPr>
        <w:t>б) не препятствовать присутствию контролируемого лица, его представителей при проведении контрольных мероприятий;</w:t>
      </w:r>
    </w:p>
    <w:p>
      <w:pPr>
        <w:pStyle w:val="Normal"/>
        <w:rPr/>
      </w:pPr>
      <w:bookmarkStart w:id="51" w:name="sub_1003_Копия_1"/>
      <w:bookmarkStart w:id="52" w:name="sub_1003"/>
      <w:bookmarkEnd w:id="51"/>
      <w:bookmarkEnd w:id="52"/>
      <w:r>
        <w:rPr>
          <w:rStyle w:val="Style15"/>
        </w:rPr>
        <w:t>в) соблюдать сроки проведения контрольных мероприятий;</w:t>
      </w:r>
    </w:p>
    <w:p>
      <w:pPr>
        <w:pStyle w:val="Normal"/>
        <w:rPr/>
      </w:pPr>
      <w:bookmarkStart w:id="53" w:name="sub_1004_Копия_1"/>
      <w:bookmarkStart w:id="54" w:name="sub_1004"/>
      <w:bookmarkEnd w:id="53"/>
      <w:bookmarkEnd w:id="54"/>
      <w:r>
        <w:rPr>
          <w:rStyle w:val="Style15"/>
        </w:rPr>
        <w:t>г) обеспечить сохранность и возврат контролируемому лицу полученных от него подлинников документов;</w:t>
      </w:r>
    </w:p>
    <w:p>
      <w:pPr>
        <w:pStyle w:val="Normal"/>
        <w:rPr/>
      </w:pPr>
      <w:bookmarkStart w:id="55" w:name="sub_1005_Копия_1"/>
      <w:bookmarkStart w:id="56" w:name="sub_1005"/>
      <w:bookmarkEnd w:id="55"/>
      <w:bookmarkEnd w:id="56"/>
      <w:r>
        <w:rPr>
          <w:rStyle w:val="Style15"/>
        </w:rPr>
        <w:t>д) соблюдать конфиденциальность сведений, составляющих государственную тайну, коммерческую тайну концессионера, и сведений, ставших известными представителям в ходе контрольных мероприятий;</w:t>
      </w:r>
    </w:p>
    <w:p>
      <w:pPr>
        <w:pStyle w:val="Normal"/>
        <w:rPr/>
      </w:pPr>
      <w:bookmarkStart w:id="57" w:name="sub_1006_Копия_1"/>
      <w:bookmarkStart w:id="58" w:name="sub_1006"/>
      <w:bookmarkEnd w:id="57"/>
      <w:bookmarkEnd w:id="58"/>
      <w:r>
        <w:rPr>
          <w:rStyle w:val="Style15"/>
        </w:rPr>
        <w:t>е) организовывать и проводить контрольные мероприятия, не вмешиваясь в осуществление хозяйственной деятельности концессионера;</w:t>
      </w:r>
    </w:p>
    <w:p>
      <w:pPr>
        <w:pStyle w:val="Normal"/>
        <w:rPr/>
      </w:pPr>
      <w:bookmarkStart w:id="59" w:name="sub_1007_Копия_1"/>
      <w:bookmarkStart w:id="60" w:name="sub_1007"/>
      <w:bookmarkEnd w:id="59"/>
      <w:bookmarkEnd w:id="60"/>
      <w:r>
        <w:rPr>
          <w:rStyle w:val="Style15"/>
        </w:rPr>
        <w:t>ж) ознакомить контролируемое лицо с актом о результатах контроля;</w:t>
      </w:r>
    </w:p>
    <w:p>
      <w:pPr>
        <w:pStyle w:val="Normal"/>
        <w:rPr/>
      </w:pPr>
      <w:bookmarkStart w:id="61" w:name="sub_1008_Копия_1"/>
      <w:bookmarkStart w:id="62" w:name="sub_1008"/>
      <w:bookmarkEnd w:id="61"/>
      <w:bookmarkEnd w:id="62"/>
      <w:r>
        <w:rPr>
          <w:rStyle w:val="Style15"/>
        </w:rPr>
        <w:t>з) не требовать от контролируемого лица документы и иные сведения, представление которых не предусмотрено законодательством Российской Федерации или соглашением.</w:t>
      </w:r>
    </w:p>
    <w:p>
      <w:pPr>
        <w:pStyle w:val="Normal"/>
        <w:rPr/>
      </w:pPr>
      <w:bookmarkStart w:id="63" w:name="sub_1112_Копия_1"/>
      <w:bookmarkStart w:id="64" w:name="sub_1112"/>
      <w:bookmarkEnd w:id="63"/>
      <w:bookmarkEnd w:id="64"/>
      <w:r>
        <w:rPr>
          <w:rStyle w:val="Style15"/>
        </w:rPr>
        <w:t>12. Представители вправе:</w:t>
      </w:r>
    </w:p>
    <w:p>
      <w:pPr>
        <w:pStyle w:val="Normal"/>
        <w:rPr/>
      </w:pPr>
      <w:bookmarkStart w:id="65" w:name="sub_10121_Копия_1"/>
      <w:bookmarkStart w:id="66" w:name="sub_10121"/>
      <w:bookmarkEnd w:id="65"/>
      <w:bookmarkEnd w:id="66"/>
      <w:r>
        <w:rPr>
          <w:rStyle w:val="Style15"/>
        </w:rPr>
        <w:t>а) самостоятельно определять методы и последовательность действий при проведении контрольных мероприятий;</w:t>
      </w:r>
    </w:p>
    <w:p>
      <w:pPr>
        <w:pStyle w:val="Normal"/>
        <w:rPr/>
      </w:pPr>
      <w:bookmarkStart w:id="67" w:name="sub_10122_Копия_1"/>
      <w:bookmarkStart w:id="68" w:name="sub_10122"/>
      <w:bookmarkEnd w:id="67"/>
      <w:bookmarkEnd w:id="68"/>
      <w:r>
        <w:rPr>
          <w:rStyle w:val="Style15"/>
        </w:rPr>
        <w:t>б) фиксировать факты противодействия проведению контрольных мероприятий, в том числе факты представления представителям недостоверной, неполной информации или ее несвоевременного представления, а также факты несанкционированного доступа к накопленной у представителей информации и другие факты;</w:t>
      </w:r>
    </w:p>
    <w:p>
      <w:pPr>
        <w:pStyle w:val="Normal"/>
        <w:rPr/>
      </w:pPr>
      <w:bookmarkStart w:id="69" w:name="sub_10123_Копия_1"/>
      <w:bookmarkStart w:id="70" w:name="sub_10123"/>
      <w:bookmarkEnd w:id="69"/>
      <w:bookmarkEnd w:id="70"/>
      <w:r>
        <w:rPr>
          <w:rStyle w:val="Style15"/>
        </w:rPr>
        <w:t>в) осуществлять беспрепятственный доступ на объект соглашения, к результатам выполнения этапов исполнения условий соглашения, к документации, относящейся к осуществлению деятельности, предусмотренной соглашением;</w:t>
      </w:r>
    </w:p>
    <w:p>
      <w:pPr>
        <w:pStyle w:val="Normal"/>
        <w:rPr/>
      </w:pPr>
      <w:bookmarkStart w:id="71" w:name="sub_10124_Копия_1"/>
      <w:bookmarkStart w:id="72" w:name="sub_10124"/>
      <w:bookmarkEnd w:id="71"/>
      <w:bookmarkEnd w:id="72"/>
      <w:r>
        <w:rPr>
          <w:rStyle w:val="Style15"/>
        </w:rPr>
        <w:t>г) осуществлять осмотр объекта соглашения, в том числе создаваемых (реконструируемых) объектов недвижимого имущества и приобретенных транспортных средств (при необходимости с проведением фото- и видеосъемки) в составе объекта соглашения, с целью получения объективной картины состояния исполнения концессионером условий соглашения.</w:t>
      </w:r>
    </w:p>
    <w:p>
      <w:pPr>
        <w:pStyle w:val="Normal"/>
        <w:rPr/>
      </w:pPr>
      <w:bookmarkStart w:id="73" w:name="sub_1113_Копия_1"/>
      <w:bookmarkStart w:id="74" w:name="sub_1113"/>
      <w:bookmarkEnd w:id="73"/>
      <w:bookmarkEnd w:id="74"/>
      <w:r>
        <w:rPr>
          <w:rStyle w:val="Style15"/>
        </w:rPr>
        <w:t xml:space="preserve">13. Контролируемые лица при проведении контрольных мероприятий обязаны обеспечить представителям беспрепятственный доступ в соответствии с требованиями законодательства на объект соглашения, к результатам выполнения этапов исполнения условий соглашения, к документации, относящейся к осуществлению деятельности, предусмотренной соглашением, в том числе представить представителям документы по списку, указанному в уведомлении о проведении контрольного мероприятия в соответствии с </w:t>
      </w:r>
      <w:hyperlink w:anchor="sub_1196">
        <w:r>
          <w:rPr>
            <w:rStyle w:val="ListLabel4"/>
            <w:rFonts w:ascii="Times New Roman" w:hAnsi="Times New Roman"/>
            <w:b w:val="false"/>
            <w:color w:val="106BBE"/>
          </w:rPr>
          <w:t>подпунктом "е" пункта 9</w:t>
        </w:r>
      </w:hyperlink>
      <w:r>
        <w:rPr>
          <w:rStyle w:val="Style15"/>
        </w:rPr>
        <w:t xml:space="preserve"> настоящих Правил.</w:t>
      </w:r>
    </w:p>
    <w:p>
      <w:pPr>
        <w:pStyle w:val="Normal"/>
        <w:rPr/>
      </w:pPr>
      <w:bookmarkStart w:id="75" w:name="sub_1114_Копия_1"/>
      <w:bookmarkStart w:id="76" w:name="sub_1114"/>
      <w:bookmarkEnd w:id="75"/>
      <w:bookmarkEnd w:id="76"/>
      <w:r>
        <w:rPr>
          <w:rStyle w:val="Style15"/>
        </w:rPr>
        <w:t>14. Контролируемые лица при проведении контрольных мероприятий вправе:</w:t>
      </w:r>
    </w:p>
    <w:p>
      <w:pPr>
        <w:pStyle w:val="Normal"/>
        <w:rPr/>
      </w:pPr>
      <w:bookmarkStart w:id="77" w:name="sub_10141_Копия_1"/>
      <w:bookmarkStart w:id="78" w:name="sub_10141"/>
      <w:bookmarkEnd w:id="77"/>
      <w:bookmarkEnd w:id="78"/>
      <w:r>
        <w:rPr>
          <w:rStyle w:val="Style15"/>
        </w:rPr>
        <w:t>а) присутствовать при проведении контрольных мероприятий;</w:t>
      </w:r>
    </w:p>
    <w:p>
      <w:pPr>
        <w:pStyle w:val="Normal"/>
        <w:rPr/>
      </w:pPr>
      <w:bookmarkStart w:id="79" w:name="sub_10142_Копия_1"/>
      <w:bookmarkStart w:id="80" w:name="sub_10142"/>
      <w:bookmarkEnd w:id="79"/>
      <w:bookmarkEnd w:id="80"/>
      <w:r>
        <w:rPr>
          <w:rStyle w:val="Style15"/>
        </w:rPr>
        <w:t>б) получать от представителей информацию, которая относится к проводимым контрольным мероприятиям и представление которой предусмотрено законодательством Российской Федерации или соглашением;</w:t>
      </w:r>
    </w:p>
    <w:p>
      <w:pPr>
        <w:pStyle w:val="Normal"/>
        <w:rPr/>
      </w:pPr>
      <w:bookmarkStart w:id="81" w:name="sub_10143_Копия_1"/>
      <w:bookmarkStart w:id="82" w:name="sub_10143"/>
      <w:bookmarkEnd w:id="81"/>
      <w:bookmarkEnd w:id="82"/>
      <w:r>
        <w:rPr>
          <w:rStyle w:val="Style15"/>
        </w:rPr>
        <w:t>в) давать комментарии и объяснения;</w:t>
      </w:r>
    </w:p>
    <w:p>
      <w:pPr>
        <w:pStyle w:val="Normal"/>
        <w:rPr/>
      </w:pPr>
      <w:bookmarkStart w:id="83" w:name="sub_10144_Копия_1"/>
      <w:bookmarkStart w:id="84" w:name="sub_10144"/>
      <w:bookmarkEnd w:id="83"/>
      <w:bookmarkEnd w:id="84"/>
      <w:r>
        <w:rPr>
          <w:rStyle w:val="Style15"/>
        </w:rPr>
        <w:t>г) знакомиться с актом о результатах контроля и давать по нему мотивированные возражения (в случае необходимости) в письменной форме с приложением соответствующих документов;</w:t>
      </w:r>
    </w:p>
    <w:p>
      <w:pPr>
        <w:pStyle w:val="Normal"/>
        <w:rPr/>
      </w:pPr>
      <w:bookmarkStart w:id="85" w:name="sub_10145_Копия_1"/>
      <w:bookmarkStart w:id="86" w:name="sub_10145"/>
      <w:bookmarkEnd w:id="85"/>
      <w:bookmarkEnd w:id="86"/>
      <w:r>
        <w:rPr>
          <w:rStyle w:val="Style15"/>
        </w:rPr>
        <w:t>д) обжаловать действия представителей в соответствии с законодательством Российской Федерации.</w:t>
      </w:r>
    </w:p>
    <w:p>
      <w:pPr>
        <w:pStyle w:val="Normal"/>
        <w:rPr/>
      </w:pPr>
      <w:bookmarkStart w:id="87" w:name="sub_1115_Копия_1"/>
      <w:bookmarkStart w:id="88" w:name="sub_1115"/>
      <w:bookmarkEnd w:id="87"/>
      <w:bookmarkEnd w:id="88"/>
      <w:r>
        <w:rPr>
          <w:rStyle w:val="Style15"/>
        </w:rPr>
        <w:t>15. Результаты контрольного мероприятия в рамках осуществления контроля оформляются в течение 5 рабочих дней с даты окончания его проведения актом о результатах контроля, который включает в себя:</w:t>
      </w:r>
    </w:p>
    <w:p>
      <w:pPr>
        <w:pStyle w:val="Normal"/>
        <w:rPr/>
      </w:pPr>
      <w:bookmarkStart w:id="89" w:name="sub_10151_Копия_1"/>
      <w:bookmarkStart w:id="90" w:name="sub_10151"/>
      <w:bookmarkEnd w:id="89"/>
      <w:bookmarkEnd w:id="90"/>
      <w:r>
        <w:rPr>
          <w:rStyle w:val="Style15"/>
        </w:rPr>
        <w:t>а) вводную часть, содержащую:</w:t>
      </w:r>
    </w:p>
    <w:p>
      <w:pPr>
        <w:pStyle w:val="Normal"/>
        <w:rPr/>
      </w:pPr>
      <w:bookmarkStart w:id="91" w:name="sub_10151_Копия_2"/>
      <w:bookmarkEnd w:id="91"/>
      <w:r>
        <w:rPr>
          <w:rStyle w:val="Style15"/>
        </w:rPr>
        <w:t>дату, время и место составления акта о результатах контроля;</w:t>
      </w:r>
    </w:p>
    <w:p>
      <w:pPr>
        <w:pStyle w:val="Normal"/>
        <w:rPr/>
      </w:pPr>
      <w:r>
        <w:rPr>
          <w:rStyle w:val="Style15"/>
        </w:rPr>
        <w:t>наименование субъекта Российской Федерации, органа государственной власти субъекта Российской Федерации и (или) юридического лица, уполномоченного на осуществление контроля;</w:t>
      </w:r>
    </w:p>
    <w:p>
      <w:pPr>
        <w:pStyle w:val="Normal"/>
        <w:rPr/>
      </w:pPr>
      <w:r>
        <w:rPr>
          <w:rStyle w:val="Style15"/>
        </w:rPr>
        <w:t>фамилии, имена, отчества (при наличии) и должности представителей;</w:t>
      </w:r>
    </w:p>
    <w:p>
      <w:pPr>
        <w:pStyle w:val="Normal"/>
        <w:rPr/>
      </w:pPr>
      <w:r>
        <w:rPr>
          <w:rStyle w:val="Style15"/>
        </w:rPr>
        <w:t>наименование контролируемого лица;</w:t>
      </w:r>
    </w:p>
    <w:p>
      <w:pPr>
        <w:pStyle w:val="Normal"/>
        <w:rPr/>
      </w:pPr>
      <w:r>
        <w:rPr>
          <w:rStyle w:val="Style15"/>
        </w:rPr>
        <w:t>срок и место проведения контрольного мероприятия;</w:t>
      </w:r>
    </w:p>
    <w:p>
      <w:pPr>
        <w:pStyle w:val="Normal"/>
        <w:rPr/>
      </w:pPr>
      <w:r>
        <w:rPr>
          <w:rStyle w:val="Style15"/>
        </w:rPr>
        <w:t>период проведения контрольного мероприятия;</w:t>
      </w:r>
    </w:p>
    <w:p>
      <w:pPr>
        <w:pStyle w:val="Normal"/>
        <w:rPr/>
      </w:pPr>
      <w:r>
        <w:rPr>
          <w:rStyle w:val="Style15"/>
        </w:rPr>
        <w:t>сведения об ознакомлении или отказе в ознакомлении контролируемого лица (руководителя или иного лица, уполномоченного контролируемым лицом) с актом о результатах контроля;</w:t>
      </w:r>
    </w:p>
    <w:p>
      <w:pPr>
        <w:pStyle w:val="Normal"/>
        <w:rPr/>
      </w:pPr>
      <w:r>
        <w:rPr>
          <w:rStyle w:val="Style15"/>
        </w:rPr>
        <w:t>подписи представителей;</w:t>
      </w:r>
    </w:p>
    <w:p>
      <w:pPr>
        <w:pStyle w:val="Normal"/>
        <w:rPr/>
      </w:pPr>
      <w:bookmarkStart w:id="92" w:name="sub_10152"/>
      <w:bookmarkEnd w:id="92"/>
      <w:r>
        <w:rPr>
          <w:rStyle w:val="Style15"/>
        </w:rPr>
        <w:t>б) основную часть, содержащую:</w:t>
      </w:r>
    </w:p>
    <w:p>
      <w:pPr>
        <w:pStyle w:val="Normal"/>
        <w:rPr/>
      </w:pPr>
      <w:bookmarkStart w:id="93" w:name="sub_10152_Копия_1"/>
      <w:bookmarkEnd w:id="93"/>
      <w:r>
        <w:rPr>
          <w:rStyle w:val="Style15"/>
        </w:rPr>
        <w:t>описание результатов осмотра объектов соглашения (при необходимости с приложением фото- и видеосъемки в случае проведения такого осмотра);</w:t>
      </w:r>
    </w:p>
    <w:p>
      <w:pPr>
        <w:pStyle w:val="Normal"/>
        <w:rPr/>
      </w:pPr>
      <w:r>
        <w:rPr>
          <w:rStyle w:val="Style15"/>
        </w:rPr>
        <w:t>информацию о нарушении концессионером условий соглашения в части требований к результатам выполнения этапов исполнения условий соглашения (при выявлении фактов нарушения концессионером таких условий соглашения);</w:t>
      </w:r>
    </w:p>
    <w:p>
      <w:pPr>
        <w:pStyle w:val="Normal"/>
        <w:rPr/>
      </w:pPr>
      <w:r>
        <w:rPr>
          <w:rStyle w:val="Style15"/>
        </w:rPr>
        <w:t>информацию о нарушении концедентом условий соглашения в части обязательств концедента (при выявлении фактов нарушения концедентом таких условий соглашения);</w:t>
      </w:r>
    </w:p>
    <w:p>
      <w:pPr>
        <w:pStyle w:val="Normal"/>
        <w:rPr/>
      </w:pPr>
      <w:bookmarkStart w:id="94" w:name="sub_10153"/>
      <w:bookmarkEnd w:id="94"/>
      <w:r>
        <w:rPr>
          <w:rStyle w:val="Style15"/>
        </w:rPr>
        <w:t>в) резолютивную часть, содержащую изложение фактических результатов проведения контрольного мероприятия, а в случае выявления фактов нарушения контролируемым лицом условий соглашения в части требований к результатам выполнения этапов исполнения условий соглашения, обязательств концедента - ссылку на документы, подтверждающие отраженную в акте о результатах контроля информацию о нарушении контролируемым лицом таких условий соглашения.</w:t>
      </w:r>
    </w:p>
    <w:p>
      <w:pPr>
        <w:pStyle w:val="Normal"/>
        <w:rPr/>
      </w:pPr>
      <w:bookmarkStart w:id="95" w:name="sub_1116_Копия_1"/>
      <w:bookmarkStart w:id="96" w:name="sub_1116"/>
      <w:bookmarkEnd w:id="95"/>
      <w:bookmarkEnd w:id="96"/>
      <w:r>
        <w:rPr>
          <w:rStyle w:val="Style15"/>
        </w:rPr>
        <w:t>16. К акту о результатах контроля прилагаются справки, объяснения, иные документы или их копии, имеющие отношение к проводимому контрольному мероприятию, в том числе подтверждающие факты нарушения контролируемым лицом условий соглашения в части требований к результатам выполнения этапов исполнения условий соглашения, обязательств концедента в случаях их выявления.</w:t>
      </w:r>
    </w:p>
    <w:p>
      <w:pPr>
        <w:pStyle w:val="Normal"/>
        <w:rPr/>
      </w:pPr>
      <w:bookmarkStart w:id="97" w:name="sub_1117_Копия_1"/>
      <w:bookmarkStart w:id="98" w:name="sub_1117"/>
      <w:bookmarkEnd w:id="97"/>
      <w:bookmarkEnd w:id="98"/>
      <w:r>
        <w:rPr>
          <w:rStyle w:val="Style15"/>
        </w:rPr>
        <w:t xml:space="preserve">17. Акты о результатах контроля, содержащие сведения, составляющие государственную тайну, оформляются с соблюдением положений, предусмотренных </w:t>
      </w:r>
      <w:hyperlink r:id="rId10">
        <w:r>
          <w:rPr>
            <w:rStyle w:val="ListLabel4"/>
            <w:rFonts w:ascii="Times New Roman" w:hAnsi="Times New Roman"/>
            <w:b w:val="false"/>
            <w:color w:val="106BBE"/>
          </w:rPr>
          <w:t>законодательством</w:t>
        </w:r>
      </w:hyperlink>
      <w:r>
        <w:rPr>
          <w:rStyle w:val="Style15"/>
        </w:rPr>
        <w:t xml:space="preserve"> Российской Федерации о защите государственной тайны.</w:t>
      </w:r>
    </w:p>
    <w:p>
      <w:pPr>
        <w:pStyle w:val="Normal"/>
        <w:rPr/>
      </w:pPr>
      <w:bookmarkStart w:id="99" w:name="sub_1118_Копия_1"/>
      <w:bookmarkStart w:id="100" w:name="sub_1118"/>
      <w:bookmarkEnd w:id="99"/>
      <w:bookmarkEnd w:id="100"/>
      <w:r>
        <w:rPr>
          <w:rStyle w:val="Style15"/>
        </w:rPr>
        <w:t>18. Акт о результатах контроля составляется в количестве экземпляров, равном количеству контролируемых лиц, в отношении которых проводилось контрольное мероприятие, увеличенном на один, и вручается контролируемым лицам, в отношении которых проводилось контрольное мероприятие, под роспись в течение 10 рабочих дней с даты составления такого акта, при этом один экземпляр такого акта остается у субъекта Российской Федерации.</w:t>
      </w:r>
    </w:p>
    <w:p>
      <w:pPr>
        <w:pStyle w:val="Normal"/>
        <w:rPr/>
      </w:pPr>
      <w:bookmarkStart w:id="101" w:name="sub_1119_Копия_1"/>
      <w:bookmarkStart w:id="102" w:name="sub_1119"/>
      <w:bookmarkEnd w:id="101"/>
      <w:bookmarkEnd w:id="102"/>
      <w:r>
        <w:rPr>
          <w:rStyle w:val="Style15"/>
        </w:rPr>
        <w:t>19. Если вручение акта о результатах контроля контролируемому лицу под роспись невозможно, такой акт направляется контролируемому лицу по почте заказным письмом.</w:t>
      </w:r>
    </w:p>
    <w:p>
      <w:pPr>
        <w:pStyle w:val="Normal"/>
        <w:rPr/>
      </w:pPr>
      <w:bookmarkStart w:id="103" w:name="sub_1120_Копия_1"/>
      <w:bookmarkStart w:id="104" w:name="sub_1120"/>
      <w:bookmarkEnd w:id="103"/>
      <w:bookmarkEnd w:id="104"/>
      <w:r>
        <w:rPr>
          <w:rStyle w:val="Style15"/>
        </w:rPr>
        <w:t>20. В случае если в результате проведения контрольного мероприятия выявлен факт нарушения концессионером условий соглашения в части требований к результатам выполнения этапов исполнения условий соглашения, субъект Российской Федерации направляет соответствующие материалы контрольного мероприятия концеденту для принятия им мер, предусмотренных соглашением, в течение 10 рабочих дней с даты составления акта о результатах контроля.</w:t>
      </w:r>
    </w:p>
    <w:p>
      <w:pPr>
        <w:pStyle w:val="Normal"/>
        <w:rPr/>
      </w:pPr>
      <w:bookmarkStart w:id="105" w:name="sub_1121_Копия_1"/>
      <w:bookmarkStart w:id="106" w:name="sub_1121"/>
      <w:bookmarkEnd w:id="105"/>
      <w:bookmarkEnd w:id="106"/>
      <w:r>
        <w:rPr>
          <w:rStyle w:val="Style15"/>
        </w:rPr>
        <w:t>21. В случае если в результате контрольного мероприятия выявлен факт нарушения концедентом условий соглашения в части обязательств концедента, субъект Российской Федерации направляет концеденту требование об устранении выявленных нарушений.</w:t>
      </w:r>
    </w:p>
    <w:p>
      <w:pPr>
        <w:pStyle w:val="Normal"/>
        <w:rPr/>
      </w:pPr>
      <w:r>
        <w:rPr/>
      </w:r>
      <w:bookmarkStart w:id="107" w:name="sub_1121_Копия_3"/>
      <w:bookmarkStart w:id="108" w:name="sub_1121_Копия_2"/>
      <w:bookmarkStart w:id="109" w:name="sub_1121_Копия_3"/>
      <w:bookmarkStart w:id="110" w:name="sub_1121_Копия_2"/>
      <w:bookmarkEnd w:id="109"/>
      <w:bookmarkEnd w:id="110"/>
    </w:p>
    <w:p>
      <w:pPr>
        <w:pStyle w:val="Normal"/>
        <w:ind w:firstLine="698"/>
        <w:jc w:val="right"/>
        <w:rPr/>
      </w:pPr>
      <w:bookmarkStart w:id="111" w:name="sub_1200"/>
      <w:bookmarkEnd w:id="111"/>
      <w:r>
        <w:rPr>
          <w:rStyle w:val="Style14"/>
          <w:rFonts w:eastAsia="Symbol" w:cs="Wingdings"/>
        </w:rPr>
        <w:t>УТВЕРЖДЕНЫ</w:t>
        <w:br/>
      </w:r>
      <w:hyperlink w:anchor="sub_0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4"/>
          <w:rFonts w:eastAsia="Symbol" w:cs="Wingdings"/>
        </w:rPr>
        <w:t xml:space="preserve"> Правительства</w:t>
        <w:br/>
        <w:t>Российской Федерации</w:t>
        <w:br/>
        <w:t>от 24 ноября 2022 г. N 2138</w:t>
      </w:r>
    </w:p>
    <w:p>
      <w:pPr>
        <w:pStyle w:val="Normal"/>
        <w:rPr/>
      </w:pPr>
      <w:r>
        <w:rPr/>
      </w:r>
      <w:bookmarkStart w:id="112" w:name="sub_1200_Копия_2"/>
      <w:bookmarkStart w:id="113" w:name="sub_1200_Копия_1"/>
      <w:bookmarkStart w:id="114" w:name="sub_1200_Копия_2"/>
      <w:bookmarkStart w:id="115" w:name="sub_1200_Копия_1"/>
      <w:bookmarkEnd w:id="114"/>
      <w:bookmarkEnd w:id="115"/>
    </w:p>
    <w:p>
      <w:pPr>
        <w:pStyle w:val="Heading1"/>
        <w:bidi w:val="0"/>
        <w:rPr/>
      </w:pPr>
      <w:r>
        <w:rPr/>
        <w:t>Требования</w:t>
        <w:br/>
        <w:t>к составу результатов выполнения этапов исполнения условий концессионного соглашения,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16" w:name="sub_1201"/>
      <w:bookmarkEnd w:id="116"/>
      <w:r>
        <w:rPr>
          <w:rStyle w:val="Style15"/>
        </w:rPr>
        <w:t>1. Настоящий документ устанавливает требования к составу результатов выполнения этапов исполнения условий концессионного соглашения,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 (далее соответственно - соглашение, объект соглашения).</w:t>
      </w:r>
    </w:p>
    <w:p>
      <w:pPr>
        <w:pStyle w:val="Normal"/>
        <w:rPr/>
      </w:pPr>
      <w:bookmarkStart w:id="117" w:name="sub_1202_Копия_1"/>
      <w:bookmarkStart w:id="118" w:name="sub_1202"/>
      <w:bookmarkEnd w:id="117"/>
      <w:bookmarkEnd w:id="118"/>
      <w:r>
        <w:rPr>
          <w:rStyle w:val="Style15"/>
        </w:rPr>
        <w:t>2. Состав результатов выполнения этапов исполнения условий соглашения определяется соглашением. В зависимости от состава обязательств концессионера по соглашению в состав указанных результатов могут включаться:</w:t>
      </w:r>
    </w:p>
    <w:p>
      <w:pPr>
        <w:pStyle w:val="Normal"/>
        <w:rPr/>
      </w:pPr>
      <w:bookmarkStart w:id="119" w:name="sub_12021_Копия_1"/>
      <w:bookmarkStart w:id="120" w:name="sub_12021"/>
      <w:bookmarkEnd w:id="119"/>
      <w:bookmarkEnd w:id="120"/>
      <w:r>
        <w:rPr>
          <w:rStyle w:val="Style15"/>
        </w:rPr>
        <w:t>а) объем выполненных работ по созданию (реконструкции) объекта соглашения;</w:t>
      </w:r>
    </w:p>
    <w:p>
      <w:pPr>
        <w:pStyle w:val="Normal"/>
        <w:rPr/>
      </w:pPr>
      <w:bookmarkStart w:id="121" w:name="sub_12022_Копия_1"/>
      <w:bookmarkStart w:id="122" w:name="sub_12022"/>
      <w:bookmarkEnd w:id="121"/>
      <w:bookmarkEnd w:id="122"/>
      <w:r>
        <w:rPr>
          <w:rStyle w:val="Style15"/>
        </w:rPr>
        <w:t>б) объекты в составе объекта соглашения, создание (реконструкция) которых завершено;</w:t>
      </w:r>
    </w:p>
    <w:p>
      <w:pPr>
        <w:pStyle w:val="Normal"/>
        <w:rPr/>
      </w:pPr>
      <w:bookmarkStart w:id="123" w:name="sub_12023_Копия_1"/>
      <w:bookmarkStart w:id="124" w:name="sub_12023"/>
      <w:bookmarkEnd w:id="123"/>
      <w:bookmarkEnd w:id="124"/>
      <w:r>
        <w:rPr>
          <w:rStyle w:val="Style15"/>
        </w:rPr>
        <w:t>в) приобретенные или созданные концессионером оборудование и иное движимое имущество;</w:t>
      </w:r>
    </w:p>
    <w:p>
      <w:pPr>
        <w:pStyle w:val="Normal"/>
        <w:rPr/>
      </w:pPr>
      <w:bookmarkStart w:id="125" w:name="sub_12024_Копия_1"/>
      <w:bookmarkStart w:id="126" w:name="sub_12024"/>
      <w:bookmarkEnd w:id="125"/>
      <w:bookmarkEnd w:id="126"/>
      <w:r>
        <w:rPr>
          <w:rStyle w:val="Style15"/>
        </w:rPr>
        <w:t>г) размер привлеченных концессионером инвестиций в создание (реконструкцию) объекта соглашения;</w:t>
      </w:r>
    </w:p>
    <w:p>
      <w:pPr>
        <w:pStyle w:val="Normal"/>
        <w:rPr/>
      </w:pPr>
      <w:bookmarkStart w:id="127" w:name="sub_12025_Копия_1"/>
      <w:bookmarkStart w:id="128" w:name="sub_12025"/>
      <w:bookmarkEnd w:id="127"/>
      <w:bookmarkEnd w:id="128"/>
      <w:r>
        <w:rPr>
          <w:rStyle w:val="Style15"/>
        </w:rPr>
        <w:t>д) объем выполненных работ (оказанных услуг) по текущему ремонту, капитальному ремонту и содержанию объекта соглашения;</w:t>
      </w:r>
    </w:p>
    <w:p>
      <w:pPr>
        <w:pStyle w:val="Normal"/>
        <w:rPr/>
      </w:pPr>
      <w:bookmarkStart w:id="129" w:name="sub_12026_Копия_1"/>
      <w:bookmarkStart w:id="130" w:name="sub_12026"/>
      <w:bookmarkEnd w:id="129"/>
      <w:bookmarkEnd w:id="130"/>
      <w:r>
        <w:rPr>
          <w:rStyle w:val="Style15"/>
        </w:rPr>
        <w:t>е) объем выполненных работ, связанных с осуществлением регулярных перевозок пассажиров (по регулируемым и (или) нерегулируемым тарифам).</w:t>
      </w:r>
    </w:p>
    <w:p>
      <w:pPr>
        <w:pStyle w:val="Normal"/>
        <w:rPr/>
      </w:pPr>
      <w:r>
        <w:rPr/>
      </w:r>
      <w:bookmarkStart w:id="131" w:name="sub_12026_Копия_3"/>
      <w:bookmarkStart w:id="132" w:name="sub_12026_Копия_2"/>
      <w:bookmarkStart w:id="133" w:name="sub_12026_Копия_3"/>
      <w:bookmarkStart w:id="134" w:name="sub_12026_Копия_2"/>
      <w:bookmarkEnd w:id="133"/>
      <w:bookmarkEnd w:id="134"/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00"/>
      <w:pgMar w:left="800" w:right="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19.12.2025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</w:tbl>
  <w:p>
    <w:pPr>
      <w:pStyle w:val="Normal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19.12.2025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</w:tbl>
  <w:p>
    <w:pPr>
      <w:pStyle w:val="Normal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ind w:firstLine="720"/>
      <w:jc w:val="both"/>
    </w:pPr>
    <w:rPr>
      <w:rFonts w:ascii="Times New Roman CYR" w:hAnsi="Times New Roman CYR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suppressAutoHyphens w:val="false"/>
      <w:spacing w:before="108" w:after="108"/>
      <w:ind w:hanging="0"/>
      <w:jc w:val="center"/>
    </w:pPr>
    <w:rPr>
      <w:rFonts w:ascii="Times New Roman CYR" w:hAnsi="Times New Roman CYR" w:eastAsia="Symbol" w:cs="Wingdings"/>
      <w:b/>
      <w:color w:val="26282F"/>
      <w:sz w:val="24"/>
      <w:szCs w:val="24"/>
    </w:rPr>
  </w:style>
  <w:style w:type="character" w:styleId="Style13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uppressAutoHyphens w:val="false"/>
      <w:spacing w:before="240" w:after="120"/>
      <w:ind w:firstLine="720"/>
      <w:jc w:val="both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List">
    <w:name w:val="List"/>
    <w:basedOn w:val="BodyText"/>
    <w:pPr>
      <w:suppressAutoHyphens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Droid Sans"/>
      <w:sz w:val="24"/>
      <w:szCs w:val="24"/>
    </w:rPr>
  </w:style>
  <w:style w:type="paragraph" w:styleId="Caption">
    <w:name w:val="Caption"/>
    <w:basedOn w:val="Normal"/>
    <w:qFormat/>
    <w:pPr>
      <w:suppressAutoHyphens w:val="false"/>
      <w:spacing w:before="120" w:after="120"/>
      <w:ind w:firstLine="720"/>
      <w:jc w:val="both"/>
    </w:pPr>
    <w:rPr>
      <w:rFonts w:ascii="Times New Roman CYR" w:hAnsi="Times New Roman CYR" w:eastAsia="Symbol"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Droid Sans"/>
      <w:sz w:val="24"/>
      <w:szCs w:val="24"/>
    </w:rPr>
  </w:style>
  <w:style w:type="paragraph" w:styleId="Style18">
    <w:name w:val="Прижатый влево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 CYR" w:hAnsi="Times New Roman CYR" w:eastAsia="Symbol" w:cs="Wingdings"/>
      <w:sz w:val="24"/>
      <w:szCs w:val="24"/>
    </w:rPr>
  </w:style>
  <w:style w:type="paragraph" w:styleId="Style19">
    <w:name w:val="Нормальный (таблица)"/>
    <w:basedOn w:val="Normal"/>
    <w:next w:val="Normal"/>
    <w:qFormat/>
    <w:pPr>
      <w:suppressAutoHyphens w:val="false"/>
      <w:spacing w:before="0" w:after="0"/>
      <w:ind w:hanging="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HeaderandFooter">
    <w:name w:val="Header and Footer"/>
    <w:basedOn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Header">
    <w:name w:val="Header"/>
    <w:basedOn w:val="Normal"/>
    <w:next w:val="Normal"/>
    <w:pPr>
      <w:suppressAutoHyphens w:val="false"/>
      <w:spacing w:before="0" w:after="0"/>
      <w:ind w:hanging="0"/>
      <w:jc w:val="center"/>
    </w:pPr>
    <w:rPr>
      <w:rFonts w:ascii="Times New Roman" w:hAnsi="Times New Roman" w:eastAsia="Symbol" w:cs="Wingdings"/>
      <w:sz w:val="20"/>
      <w:szCs w:val="24"/>
    </w:rPr>
  </w:style>
  <w:style w:type="paragraph" w:styleId="Footer">
    <w:name w:val="Footer"/>
    <w:basedOn w:val="Normal"/>
    <w:next w:val="Normal"/>
    <w:pPr>
      <w:suppressAutoHyphens w:val="false"/>
      <w:spacing w:before="0" w:after="0"/>
      <w:ind w:hanging="0"/>
      <w:jc w:val="left"/>
    </w:pPr>
    <w:rPr>
      <w:rFonts w:ascii="Times New Roman" w:hAnsi="Times New Roman" w:eastAsia="Symbol" w:cs="Wingdings"/>
      <w:sz w:val="20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405796329/0" TargetMode="External"/><Relationship Id="rId3" Type="http://schemas.openxmlformats.org/officeDocument/2006/relationships/hyperlink" Target="https://internet.garant.ru/document/redirect/12141176/98" TargetMode="External"/><Relationship Id="rId4" Type="http://schemas.openxmlformats.org/officeDocument/2006/relationships/hyperlink" Target="https://internet.garant.ru/document/redirect/12141176/5017" TargetMode="External"/><Relationship Id="rId5" Type="http://schemas.openxmlformats.org/officeDocument/2006/relationships/hyperlink" Target="https://internet.garant.ru/document/redirect/12141176/5017" TargetMode="External"/><Relationship Id="rId6" Type="http://schemas.openxmlformats.org/officeDocument/2006/relationships/hyperlink" Target="https://internet.garant.ru/document/redirect/12141176/5017" TargetMode="External"/><Relationship Id="rId7" Type="http://schemas.openxmlformats.org/officeDocument/2006/relationships/hyperlink" Target="https://internet.garant.ru/document/redirect/12141176/10166" TargetMode="External"/><Relationship Id="rId8" Type="http://schemas.openxmlformats.org/officeDocument/2006/relationships/hyperlink" Target="https://internet.garant.ru/document/redirect/12141176/10166" TargetMode="External"/><Relationship Id="rId9" Type="http://schemas.openxmlformats.org/officeDocument/2006/relationships/hyperlink" Target="https://internet.garant.ru/document/redirect/12141176/10166" TargetMode="External"/><Relationship Id="rId10" Type="http://schemas.openxmlformats.org/officeDocument/2006/relationships/hyperlink" Target="https://internet.garant.ru/document/redirect/10102673/3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LibreOffice/24.2.6.2$Linux_X86_64 LibreOffice_project/420$Build-2</Application>
  <AppVersion>15.0000</AppVersion>
  <Pages>4</Pages>
  <Words>1736</Words>
  <Characters>13552</Characters>
  <CharactersWithSpaces>15209</CharactersWithSpaces>
  <Paragraphs>80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2025-12-19T09:59:00Z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